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160" w:line="259" w:lineRule="auto"/>
        <w:ind w:firstLine="0" w:left="-630"/>
        <w:jc w:val="left"/>
        <w:rPr/>
      </w:pPr>
      <w:r/>
      <w:r/>
    </w:p>
    <w:p>
      <w:pPr>
        <w:pBdr/>
        <w:spacing w:after="177" w:line="259" w:lineRule="auto"/>
        <w:ind w:right="13"/>
        <w:rPr/>
      </w:pPr>
      <w:r>
        <w:rPr>
          <w:b/>
          <w:u w:val="single"/>
        </w:rPr>
        <w:t xml:space="preserve">CONTRAT D'ACHAT DE </w:t>
      </w:r>
      <w:r>
        <w:rPr>
          <w:b/>
          <w:u w:val="single"/>
        </w:rPr>
        <w:t xml:space="preserve">PARCELLE</w:t>
      </w:r>
      <w:r>
        <w:rPr>
          <w:b/>
          <w:u w:val="single"/>
        </w:rPr>
        <w:t xml:space="preserve"> DANS LE </w:t>
      </w:r>
      <w:r>
        <w:rPr>
          <w:b/>
          <w:u w:val="single"/>
        </w:rPr>
        <w:t xml:space="preserve">SITE</w:t>
      </w:r>
      <w:r>
        <w:rPr>
          <w:b/>
          <w:u w:val="single"/>
        </w:rPr>
        <w:t xml:space="preserve"> « BLUE WATERS ESTATE</w:t>
      </w:r>
      <w:r>
        <w:rPr>
          <w:b/>
          <w:u w:val="single"/>
        </w:rPr>
        <w:t xml:space="preserve">, </w:t>
      </w:r>
      <w:r>
        <w:rPr>
          <w:b/>
          <w:u w:val="single"/>
        </w:rPr>
        <w:t xml:space="preserve">Promoter</w:t>
      </w:r>
      <w:r>
        <w:rPr>
          <w:b/>
          <w:u w:val="single"/>
        </w:rPr>
        <w:t xml:space="preserve"> »</w:t>
      </w:r>
      <w:r>
        <w:rPr>
          <w:b/>
        </w:rPr>
        <w:t xml:space="preserve"> </w:t>
      </w:r>
      <w:r/>
    </w:p>
    <w:p>
      <w:pPr>
        <w:pBdr/>
        <w:spacing w:after="177" w:line="259" w:lineRule="auto"/>
        <w:ind w:firstLine="0" w:left="-630"/>
        <w:rPr/>
      </w:pPr>
      <w:r/>
      <w:r/>
    </w:p>
    <w:p>
      <w:pPr>
        <w:pBdr/>
        <w:spacing w:after="177" w:line="259" w:lineRule="auto"/>
        <w:ind w:firstLine="0" w:left="-630"/>
        <w:rPr>
          <w:lang w:val="fr-FR"/>
        </w:rPr>
      </w:pPr>
      <w:r>
        <w:rPr>
          <w:lang w:val="fr-FR"/>
        </w:rPr>
        <w:t xml:space="preserve">Ce contrat a pour objet la mise en œuvre de l'achat d'une parcelle situé</w:t>
      </w:r>
      <w:r>
        <w:rPr>
          <w:lang w:val="fr-FR"/>
        </w:rPr>
        <w:t xml:space="preserve">e </w:t>
      </w:r>
      <w:r>
        <w:rPr>
          <w:lang w:val="fr-FR"/>
        </w:rPr>
        <w:t xml:space="preserve">dans la commune de Kabezi, colline de Ramba.  </w:t>
      </w:r>
      <w:r>
        <w:rPr>
          <w:lang w:val="fr-FR"/>
        </w:rPr>
      </w:r>
    </w:p>
    <w:p>
      <w:pPr>
        <w:pBdr/>
        <w:spacing/>
        <w:ind w:right="1" w:firstLine="0" w:left="-630"/>
        <w:rPr>
          <w:lang w:val="fr-FR"/>
        </w:rPr>
      </w:pPr>
      <w:r>
        <w:rPr>
          <w:lang w:val="fr-FR"/>
        </w:rPr>
        <w:t xml:space="preserve">Le présent contrat d'achat est conclu entre </w:t>
      </w:r>
      <w:r>
        <w:rPr>
          <w:lang w:val="fr-FR"/>
        </w:rPr>
        <w:t xml:space="preserve">: …………………</w:t>
      </w:r>
      <w:r>
        <w:rPr>
          <w:lang w:val="fr-FR"/>
        </w:rPr>
        <w:t xml:space="preserve">………………………………….</w:t>
      </w:r>
      <w:r>
        <w:rPr>
          <w:lang w:val="fr-FR"/>
        </w:rPr>
        <w:t xml:space="preserve"> </w:t>
      </w:r>
      <w:r>
        <w:rPr>
          <w:lang w:val="fr-FR"/>
        </w:rPr>
        <w:t xml:space="preserve">titulaire</w:t>
      </w:r>
      <w:r>
        <w:rPr>
          <w:lang w:val="fr-FR"/>
        </w:rPr>
        <w:t xml:space="preserve"> du numéro d'identité : ……………… et de nationalité : …………………, dont le numéro de téléphone est le :</w:t>
      </w:r>
      <w:r>
        <w:rPr>
          <w:lang w:val="fr-FR"/>
        </w:rPr>
        <w:t xml:space="preserve"> </w:t>
      </w:r>
      <w:r>
        <w:rPr>
          <w:lang w:val="fr-FR"/>
        </w:rPr>
        <w:t xml:space="preserve">……………………….. </w:t>
      </w:r>
      <w:r>
        <w:rPr>
          <w:lang w:val="fr-FR"/>
        </w:rPr>
      </w:r>
    </w:p>
    <w:p>
      <w:pPr>
        <w:pBdr/>
        <w:spacing w:after="168"/>
        <w:ind w:right="1" w:firstLine="0" w:left="-630"/>
        <w:rPr>
          <w:lang w:val="fr-FR"/>
        </w:rPr>
      </w:pPr>
      <w:r>
        <w:rPr>
          <w:lang w:val="fr-FR"/>
        </w:rPr>
        <w:t xml:space="preserve">Et </w:t>
      </w:r>
      <w:r>
        <w:rPr>
          <w:lang w:val="fr-FR"/>
        </w:rPr>
      </w:r>
    </w:p>
    <w:p>
      <w:pPr>
        <w:pBdr/>
        <w:spacing w:after="169"/>
        <w:ind w:right="1" w:firstLine="0" w:left="-630"/>
        <w:rPr>
          <w:lang w:val="fr-FR"/>
        </w:rPr>
      </w:pPr>
      <w:r>
        <w:rPr>
          <w:lang w:val="fr-FR"/>
        </w:rPr>
        <w:t xml:space="preserve">NEPOS DONATIEN NYAHWIHWIRI, de nationalité burundaise, titulaire du passepor</w:t>
      </w:r>
      <w:r>
        <w:rPr>
          <w:lang w:val="fr-FR"/>
        </w:rPr>
        <w:t xml:space="preserve">t numéro OPO326937</w:t>
      </w:r>
      <w:r>
        <w:rPr>
          <w:lang w:val="fr-FR"/>
        </w:rPr>
        <w:t xml:space="preserve"> </w:t>
      </w:r>
      <w:r>
        <w:rPr>
          <w:lang w:val="fr-FR"/>
        </w:rPr>
      </w:r>
    </w:p>
    <w:p>
      <w:pPr>
        <w:pBdr/>
        <w:spacing w:after="169"/>
        <w:ind w:right="1" w:firstLine="0" w:left="-630"/>
        <w:rPr>
          <w:lang w:val="fr-FR"/>
        </w:rPr>
      </w:pPr>
      <w:r>
        <w:rPr>
          <w:lang w:val="fr-FR"/>
        </w:rPr>
      </w:r>
      <w:r>
        <w:rPr>
          <w:lang w:val="fr-FR"/>
        </w:rPr>
      </w:r>
    </w:p>
    <w:p>
      <w:pPr>
        <w:pBdr/>
        <w:spacing/>
        <w:ind w:right="1" w:firstLine="0" w:left="-630"/>
        <w:rPr>
          <w:lang w:val="fr-FR"/>
        </w:rPr>
      </w:pPr>
      <w:r>
        <w:rPr>
          <w:b/>
          <w:lang w:val="fr-FR"/>
        </w:rPr>
        <w:t xml:space="preserve">Article 1 : </w:t>
      </w:r>
      <w:r>
        <w:rPr>
          <w:lang w:val="fr-FR"/>
        </w:rPr>
        <w:t xml:space="preserve">L'acheteur et le vendeur conviennent de l'achat volontaire d</w:t>
      </w:r>
      <w:r>
        <w:rPr>
          <w:lang w:val="fr-FR"/>
        </w:rPr>
        <w:t xml:space="preserve">’une</w:t>
      </w:r>
      <w:r>
        <w:rPr>
          <w:lang w:val="fr-FR"/>
        </w:rPr>
        <w:t xml:space="preserve"> </w:t>
      </w:r>
      <w:r>
        <w:rPr>
          <w:lang w:val="fr-FR"/>
        </w:rPr>
        <w:t xml:space="preserve">parcelle</w:t>
      </w:r>
      <w:r>
        <w:rPr>
          <w:lang w:val="fr-FR"/>
        </w:rPr>
        <w:t xml:space="preserve"> </w:t>
      </w:r>
      <w:r>
        <w:rPr>
          <w:b/>
          <w:lang w:val="fr-FR"/>
        </w:rPr>
        <w:t xml:space="preserve">numéro </w:t>
      </w:r>
      <w:r>
        <w:rPr>
          <w:b/>
          <w:lang w:val="fr-FR"/>
        </w:rPr>
        <w:t xml:space="preserve">:……………</w:t>
      </w:r>
      <w:r>
        <w:rPr>
          <w:lang w:val="fr-FR"/>
        </w:rPr>
        <w:t xml:space="preserve">,</w:t>
      </w:r>
      <w:r>
        <w:rPr>
          <w:lang w:val="fr-FR"/>
        </w:rPr>
        <w:t xml:space="preserve"> d’une </w:t>
      </w:r>
      <w:r>
        <w:rPr>
          <w:b/>
          <w:lang w:val="fr-FR"/>
        </w:rPr>
        <w:t xml:space="preserve">superficie de :……ares………ca</w:t>
      </w:r>
      <w:r>
        <w:rPr>
          <w:lang w:val="fr-FR"/>
        </w:rPr>
        <w:t xml:space="preserve">, </w:t>
      </w:r>
      <w:r>
        <w:rPr>
          <w:lang w:val="fr-FR"/>
        </w:rPr>
        <w:t xml:space="preserve"> </w:t>
      </w:r>
      <w:r>
        <w:rPr>
          <w:lang w:val="fr-FR"/>
        </w:rPr>
        <w:t xml:space="preserve">au prix de …………………………………….. BIF par ar</w:t>
      </w:r>
      <w:r>
        <w:rPr>
          <w:lang w:val="fr-FR"/>
        </w:rPr>
        <w:t xml:space="preserve">e</w:t>
      </w:r>
      <w:r>
        <w:rPr>
          <w:lang w:val="fr-FR"/>
        </w:rPr>
        <w:t xml:space="preserve">.  Le montant total payé est de ……</w:t>
      </w:r>
      <w:r>
        <w:rPr>
          <w:lang w:val="fr-FR"/>
        </w:rPr>
        <w:t xml:space="preserve">..</w:t>
      </w:r>
      <w:r>
        <w:rPr>
          <w:lang w:val="fr-FR"/>
        </w:rPr>
        <w:t xml:space="preserve"> …………………….</w:t>
      </w:r>
      <w:r>
        <w:rPr>
          <w:lang w:val="fr-FR"/>
        </w:rPr>
        <w:t xml:space="preserve">x</w:t>
      </w:r>
      <w:r>
        <w:rPr>
          <w:lang w:val="fr-FR"/>
        </w:rPr>
      </w:r>
    </w:p>
    <w:p>
      <w:pPr>
        <w:pBdr/>
        <w:spacing w:after="165"/>
        <w:ind w:right="1" w:firstLine="0" w:left="-630"/>
        <w:rPr>
          <w:lang w:val="fr-FR"/>
        </w:rPr>
      </w:pPr>
      <w:r>
        <w:rPr>
          <w:lang w:val="fr-FR"/>
        </w:rPr>
        <w:t xml:space="preserve">……. </w:t>
      </w:r>
      <w:r>
        <w:rPr>
          <w:lang w:val="fr-FR"/>
        </w:rPr>
        <w:t xml:space="preserve">ares</w:t>
      </w:r>
      <w:r>
        <w:rPr>
          <w:lang w:val="fr-FR"/>
        </w:rPr>
        <w:t xml:space="preserve">  ……….. </w:t>
      </w:r>
      <w:r>
        <w:rPr>
          <w:lang w:val="fr-FR"/>
        </w:rPr>
        <w:t xml:space="preserve">ca</w:t>
      </w:r>
      <w:r>
        <w:rPr>
          <w:lang w:val="fr-FR"/>
        </w:rPr>
        <w:t xml:space="preserve">.   Le vendeur reçoit l</w:t>
      </w:r>
      <w:r>
        <w:rPr>
          <w:lang w:val="fr-FR"/>
        </w:rPr>
        <w:t xml:space="preserve">a totalité </w:t>
      </w:r>
      <w:r>
        <w:rPr>
          <w:lang w:val="fr-FR"/>
        </w:rPr>
        <w:t xml:space="preserve">nette d</w:t>
      </w:r>
      <w:r>
        <w:rPr>
          <w:lang w:val="fr-FR"/>
        </w:rPr>
        <w:t xml:space="preserve">u montant verse a</w:t>
      </w:r>
      <w:r>
        <w:rPr>
          <w:lang w:val="fr-FR"/>
        </w:rPr>
        <w:t xml:space="preserve"> la KCB B</w:t>
      </w:r>
      <w:r>
        <w:rPr>
          <w:lang w:val="fr-FR"/>
        </w:rPr>
        <w:t xml:space="preserve">ank, Burundi ou dans une autre banque indiquée par le </w:t>
      </w:r>
      <w:r>
        <w:rPr>
          <w:lang w:val="fr-FR"/>
        </w:rPr>
        <w:t xml:space="preserve">propriétaire</w:t>
      </w:r>
      <w:r>
        <w:rPr>
          <w:lang w:val="fr-FR"/>
        </w:rPr>
        <w:t xml:space="preserve"> du site « Blue Waters </w:t>
      </w:r>
      <w:r>
        <w:rPr>
          <w:lang w:val="fr-FR"/>
        </w:rPr>
        <w:t xml:space="preserve">Estate</w:t>
      </w:r>
      <w:r>
        <w:rPr>
          <w:lang w:val="fr-FR"/>
        </w:rPr>
        <w:t xml:space="preserve">, en </w:t>
      </w:r>
      <w:r>
        <w:rPr>
          <w:lang w:val="fr-FR"/>
        </w:rPr>
        <w:t xml:space="preserve">singleton</w:t>
      </w:r>
      <w:r>
        <w:rPr>
          <w:lang w:val="fr-FR"/>
        </w:rPr>
        <w:t xml:space="preserve"> : BWE</w:t>
      </w:r>
      <w:r>
        <w:rPr>
          <w:lang w:val="fr-FR"/>
        </w:rPr>
        <w:t xml:space="preserve"> ». </w:t>
      </w:r>
      <w:r>
        <w:rPr>
          <w:lang w:val="fr-FR"/>
        </w:rPr>
      </w:r>
    </w:p>
    <w:p>
      <w:pPr>
        <w:pStyle w:val="744"/>
        <w:numPr>
          <w:ilvl w:val="0"/>
          <w:numId w:val="3"/>
        </w:numPr>
        <w:pBdr/>
        <w:spacing w:after="165"/>
        <w:ind w:right="1"/>
        <w:rPr>
          <w:b/>
          <w:lang w:val="fr-FR"/>
        </w:rPr>
      </w:pPr>
      <w:r>
        <w:rPr>
          <w:b/>
          <w:lang w:val="fr-FR"/>
        </w:rPr>
        <w:t xml:space="preserve">Taxes </w:t>
      </w:r>
      <w:r>
        <w:rPr>
          <w:lang w:val="fr-FR"/>
        </w:rPr>
        <w:t xml:space="preserve">: </w:t>
      </w:r>
      <w:r>
        <w:rPr>
          <w:lang w:val="fr-FR"/>
        </w:rPr>
        <w:t xml:space="preserve">Toutes</w:t>
      </w:r>
      <w:r>
        <w:rPr>
          <w:lang w:val="fr-FR"/>
        </w:rPr>
        <w:t xml:space="preserve"> les taxes communales et autres </w:t>
      </w:r>
      <w:r>
        <w:rPr>
          <w:lang w:val="fr-FR"/>
        </w:rPr>
        <w:t xml:space="preserve">charges</w:t>
      </w:r>
      <w:r>
        <w:rPr>
          <w:lang w:val="fr-FR"/>
        </w:rPr>
        <w:t xml:space="preserve"> administrati</w:t>
      </w:r>
      <w:r>
        <w:rPr>
          <w:lang w:val="fr-FR"/>
        </w:rPr>
        <w:t xml:space="preserve">ves</w:t>
      </w:r>
      <w:r>
        <w:rPr>
          <w:lang w:val="fr-FR"/>
        </w:rPr>
        <w:t xml:space="preserve"> </w:t>
      </w:r>
      <w:r>
        <w:rPr>
          <w:lang w:val="fr-FR"/>
        </w:rPr>
        <w:t xml:space="preserve">liées à cette transaction </w:t>
      </w:r>
      <w:r>
        <w:rPr>
          <w:lang w:val="fr-FR"/>
        </w:rPr>
        <w:t xml:space="preserve">seront pris</w:t>
      </w:r>
      <w:r>
        <w:rPr>
          <w:lang w:val="fr-FR"/>
        </w:rPr>
        <w:t xml:space="preserve">es</w:t>
      </w:r>
      <w:r>
        <w:rPr>
          <w:lang w:val="fr-FR"/>
        </w:rPr>
        <w:t xml:space="preserve"> en charge par l'acheteur.</w:t>
      </w:r>
      <w:r>
        <w:rPr>
          <w:b/>
          <w:lang w:val="fr-FR"/>
        </w:rPr>
        <w:t xml:space="preserve"> </w:t>
      </w:r>
      <w:r>
        <w:rPr>
          <w:b/>
          <w:lang w:val="fr-FR"/>
        </w:rPr>
      </w:r>
    </w:p>
    <w:p>
      <w:pPr>
        <w:pStyle w:val="744"/>
        <w:numPr>
          <w:ilvl w:val="0"/>
          <w:numId w:val="3"/>
        </w:numPr>
        <w:pBdr/>
        <w:spacing w:after="165"/>
        <w:ind w:right="1"/>
        <w:rPr>
          <w:lang w:val="fr-FR"/>
        </w:rPr>
      </w:pPr>
      <w:r>
        <w:rPr>
          <w:b/>
          <w:lang w:val="fr-FR"/>
        </w:rPr>
        <w:t xml:space="preserve">Avance </w:t>
      </w:r>
      <w:r>
        <w:rPr>
          <w:lang w:val="fr-FR"/>
        </w:rPr>
        <w:t xml:space="preserve">:</w:t>
      </w:r>
      <w:r>
        <w:rPr>
          <w:lang w:val="fr-FR"/>
        </w:rPr>
        <w:t xml:space="preserve"> l’acheteur qui veut payer l’avance pour acheter la parcelle peut déposer un montant équivalent a 20% du montant total et le reste du montant doit êt</w:t>
      </w:r>
      <w:r>
        <w:rPr>
          <w:lang w:val="fr-FR"/>
        </w:rPr>
        <w:t xml:space="preserve">re verse dans un délai de </w:t>
      </w:r>
      <w:r>
        <w:rPr>
          <w:lang w:val="fr-FR"/>
        </w:rPr>
        <w:t xml:space="preserve">(négociable)</w:t>
      </w:r>
      <w:r>
        <w:rPr>
          <w:lang w:val="fr-FR"/>
        </w:rPr>
        <w:t xml:space="preserve">………………….</w:t>
      </w:r>
      <w:r>
        <w:rPr>
          <w:lang w:val="fr-FR"/>
        </w:rPr>
        <w:t xml:space="preserve"> </w:t>
      </w:r>
      <w:r>
        <w:rPr>
          <w:lang w:val="fr-FR"/>
        </w:rPr>
        <w:t xml:space="preserve">à</w:t>
      </w:r>
      <w:r>
        <w:rPr>
          <w:lang w:val="fr-FR"/>
        </w:rPr>
        <w:t xml:space="preserve"> partir de la date de la signature du contrat</w:t>
      </w:r>
      <w:r>
        <w:rPr>
          <w:lang w:val="fr-FR"/>
        </w:rPr>
        <w:t xml:space="preserve"> </w:t>
      </w:r>
      <w:r>
        <w:rPr>
          <w:lang w:val="fr-FR"/>
        </w:rPr>
      </w:r>
    </w:p>
    <w:p>
      <w:pPr>
        <w:pStyle w:val="744"/>
        <w:numPr>
          <w:ilvl w:val="0"/>
          <w:numId w:val="3"/>
        </w:numPr>
        <w:pBdr/>
        <w:spacing w:after="165"/>
        <w:ind w:right="1"/>
        <w:rPr>
          <w:lang w:val="fr-FR"/>
        </w:rPr>
      </w:pPr>
      <w:r>
        <w:rPr>
          <w:b/>
          <w:lang w:val="fr-FR"/>
        </w:rPr>
        <w:t xml:space="preserve">En Cas Du Non-</w:t>
      </w:r>
      <w:r>
        <w:rPr>
          <w:b/>
          <w:lang w:val="fr-FR"/>
        </w:rPr>
        <w:t xml:space="preserve">Paiement Du Montant Total : </w:t>
      </w:r>
      <w:r>
        <w:rPr>
          <w:lang w:val="fr-FR"/>
        </w:rPr>
        <w:t xml:space="preserve">En</w:t>
      </w:r>
      <w:r>
        <w:rPr>
          <w:lang w:val="fr-FR"/>
        </w:rPr>
        <w:t xml:space="preserve"> cas de Non-Paiement du montant restant après </w:t>
      </w:r>
      <w:r>
        <w:rPr>
          <w:lang w:val="fr-FR"/>
        </w:rPr>
        <w:t xml:space="preserve">l’avance en fonction du</w:t>
      </w:r>
      <w:r>
        <w:rPr>
          <w:lang w:val="fr-FR"/>
        </w:rPr>
        <w:t xml:space="preserve"> délai convenu, l’acheteur perdr</w:t>
      </w:r>
      <w:r>
        <w:rPr>
          <w:lang w:val="fr-FR"/>
        </w:rPr>
        <w:t xml:space="preserve">a le doit a la dite parcelle </w:t>
      </w:r>
      <w:r>
        <w:rPr>
          <w:lang w:val="fr-FR"/>
        </w:rPr>
        <w:t xml:space="preserve">sans remboursement de l’avance déposée par l’acheteur</w:t>
      </w:r>
      <w:r>
        <w:rPr>
          <w:lang w:val="fr-FR"/>
        </w:rPr>
      </w:r>
    </w:p>
    <w:p>
      <w:pPr>
        <w:pStyle w:val="744"/>
        <w:numPr>
          <w:ilvl w:val="0"/>
          <w:numId w:val="3"/>
        </w:numPr>
        <w:pBdr/>
        <w:spacing w:after="165"/>
        <w:ind w:right="1"/>
        <w:rPr>
          <w:lang w:val="fr-FR"/>
        </w:rPr>
      </w:pPr>
      <w:r>
        <w:rPr>
          <w:b/>
          <w:lang w:val="fr-FR"/>
        </w:rPr>
        <w:t xml:space="preserve">Période Limite Pour la Construction de la Parcelle </w:t>
      </w:r>
      <w:r>
        <w:rPr>
          <w:lang w:val="fr-FR"/>
        </w:rPr>
        <w:t xml:space="preserve">: L’acheteur aura une durée de 3 ans pour finir la construction de son villas.  En cas de non-respect de ce délai, l’acheteur devrait remettre la parcelle au Blue Waters </w:t>
      </w:r>
      <w:r>
        <w:rPr>
          <w:lang w:val="fr-FR"/>
        </w:rPr>
        <w:t xml:space="preserve">Estate</w:t>
      </w:r>
      <w:r>
        <w:rPr>
          <w:lang w:val="en-US"/>
        </w:rPr>
        <w:t xml:space="preserve">.</w:t>
      </w:r>
      <w:r>
        <w:rPr>
          <w:lang w:val="fr-FR"/>
        </w:rPr>
      </w:r>
    </w:p>
    <w:p>
      <w:pPr>
        <w:pStyle w:val="744"/>
        <w:numPr>
          <w:ilvl w:val="0"/>
          <w:numId w:val="3"/>
        </w:numPr>
        <w:pBdr/>
        <w:spacing w:after="165"/>
        <w:ind w:right="1"/>
        <w:rPr>
          <w:lang w:val="fr-FR"/>
        </w:rPr>
      </w:pPr>
      <w:r>
        <w:rPr>
          <w:b/>
          <w:lang w:val="fr-FR"/>
        </w:rPr>
        <w:t xml:space="preserve">Remise Du Titre a l’Acheteur</w:t>
      </w:r>
      <w:r>
        <w:rPr>
          <w:b/>
          <w:lang w:val="fr-FR"/>
        </w:rPr>
        <w:t xml:space="preserve"> </w:t>
      </w:r>
      <w:r>
        <w:rPr>
          <w:lang w:val="fr-FR"/>
        </w:rPr>
        <w:t xml:space="preserve">: Apres le paiement total de la parcelle, le vendeur s'engage à fournir </w:t>
      </w:r>
      <w:r>
        <w:rPr>
          <w:b/>
          <w:lang w:val="fr-FR"/>
        </w:rPr>
        <w:t xml:space="preserve">le titre de </w:t>
      </w:r>
      <w:r>
        <w:rPr>
          <w:lang w:val="fr-FR"/>
        </w:rPr>
        <w:t xml:space="preserve">afin que l'acheteur puisse faire le transfert du titre en son nom et afin de pouvoir ériger sa propre maison  </w:t>
      </w:r>
      <w:r>
        <w:rPr>
          <w:lang w:val="fr-FR"/>
        </w:rPr>
      </w:r>
    </w:p>
    <w:p>
      <w:pPr>
        <w:pBdr/>
        <w:spacing w:after="166"/>
        <w:ind w:right="1" w:firstLine="0" w:left="-630"/>
        <w:rPr>
          <w:lang w:val="fr-FR"/>
        </w:rPr>
      </w:pPr>
      <w:r>
        <w:rPr>
          <w:b/>
          <w:lang w:val="fr-FR"/>
        </w:rPr>
        <w:t xml:space="preserve">Article 2 : </w:t>
      </w:r>
      <w:r>
        <w:rPr>
          <w:lang w:val="fr-FR"/>
        </w:rPr>
        <w:t xml:space="preserve">L'achete</w:t>
      </w:r>
      <w:r>
        <w:rPr>
          <w:lang w:val="fr-FR"/>
        </w:rPr>
        <w:t xml:space="preserve">ur est tenu de payer une partie</w:t>
      </w:r>
      <w:r>
        <w:rPr>
          <w:lang w:val="fr-FR"/>
        </w:rPr>
        <w:t xml:space="preserve"> de l'installation électrique, en fonction du cout total</w:t>
      </w:r>
      <w:r>
        <w:rPr>
          <w:lang w:val="fr-FR"/>
        </w:rPr>
        <w:t xml:space="preserve"> de tout le site et de la superficie</w:t>
      </w:r>
      <w:r>
        <w:rPr>
          <w:lang w:val="fr-FR"/>
        </w:rPr>
        <w:t xml:space="preserve"> de sa parcelle pour garantir que l'électricité atteigne tous les propriétaires des parcelles </w:t>
      </w:r>
      <w:r>
        <w:rPr>
          <w:lang w:val="fr-FR"/>
        </w:rPr>
      </w:r>
    </w:p>
    <w:p>
      <w:pPr>
        <w:pBdr/>
        <w:spacing w:after="165"/>
        <w:ind w:right="1" w:firstLine="0" w:left="-630"/>
        <w:rPr>
          <w:lang w:val="fr-FR"/>
        </w:rPr>
      </w:pPr>
      <w:r>
        <w:rPr>
          <w:b/>
          <w:lang w:val="fr-FR"/>
        </w:rPr>
        <w:t xml:space="preserve">Article 3 : </w:t>
      </w:r>
      <w:r>
        <w:rPr>
          <w:lang w:val="fr-FR"/>
        </w:rPr>
        <w:t xml:space="preserve">L'acheteur est tenu de payer une par</w:t>
      </w:r>
      <w:r>
        <w:rPr>
          <w:lang w:val="fr-FR"/>
        </w:rPr>
        <w:t xml:space="preserve">tie du coût d</w:t>
      </w:r>
      <w:r>
        <w:rPr>
          <w:lang w:val="fr-FR"/>
        </w:rPr>
        <w:t xml:space="preserve">es routes goudronnées et les panneaux</w:t>
      </w:r>
      <w:r>
        <w:rPr>
          <w:lang w:val="fr-FR"/>
        </w:rPr>
        <w:t xml:space="preserve"> lumineux qui seront construites au sein du site « Blue Waters </w:t>
      </w:r>
      <w:r>
        <w:rPr>
          <w:lang w:val="fr-FR"/>
        </w:rPr>
        <w:t xml:space="preserve">Estate</w:t>
      </w:r>
      <w:r>
        <w:rPr>
          <w:lang w:val="fr-FR"/>
        </w:rPr>
        <w:t xml:space="preserve"> </w:t>
      </w:r>
      <w:r>
        <w:rPr>
          <w:lang w:val="fr-FR"/>
        </w:rPr>
        <w:t xml:space="preserve">» </w:t>
      </w:r>
      <w:r>
        <w:rPr>
          <w:lang w:val="fr-FR"/>
        </w:rPr>
        <w:t xml:space="preserve">,</w:t>
      </w:r>
      <w:r>
        <w:rPr>
          <w:lang w:val="fr-FR"/>
        </w:rPr>
        <w:t xml:space="preserve"> en fonction de la taille de la parcelle et du montant total nécessaire du site pour </w:t>
      </w:r>
      <w:r>
        <w:rPr>
          <w:lang w:val="fr-FR"/>
        </w:rPr>
        <w:t xml:space="preserve">garantir le haut standing du site « Blue Waters </w:t>
      </w:r>
      <w:r>
        <w:rPr>
          <w:lang w:val="fr-FR"/>
        </w:rPr>
        <w:t xml:space="preserve">Estate</w:t>
      </w:r>
      <w:r>
        <w:rPr>
          <w:lang w:val="fr-FR"/>
        </w:rPr>
        <w:t xml:space="preserve"> »</w:t>
      </w:r>
      <w:r>
        <w:rPr>
          <w:lang w:val="fr-FR"/>
        </w:rPr>
      </w:r>
    </w:p>
    <w:p>
      <w:pPr>
        <w:pBdr/>
        <w:spacing w:after="165"/>
        <w:ind w:right="1" w:firstLine="0" w:left="-630"/>
        <w:rPr>
          <w:lang w:val="fr-FR"/>
        </w:rPr>
      </w:pPr>
      <w:r>
        <w:rPr>
          <w:b/>
          <w:lang w:val="fr-FR"/>
        </w:rPr>
        <w:t xml:space="preserve">Article 4</w:t>
      </w:r>
      <w:r>
        <w:rPr>
          <w:b/>
          <w:lang w:val="fr-FR"/>
        </w:rPr>
        <w:t xml:space="preserve"> :</w:t>
      </w:r>
      <w:r>
        <w:rPr>
          <w:lang w:val="fr-FR"/>
        </w:rPr>
        <w:t xml:space="preserve"> </w:t>
      </w:r>
      <w:r>
        <w:rPr>
          <w:lang w:val="fr-FR"/>
        </w:rPr>
        <w:t xml:space="preserve">L'acheteur est </w:t>
      </w:r>
      <w:r>
        <w:rPr>
          <w:lang w:val="fr-FR"/>
        </w:rPr>
        <w:t xml:space="preserve">tenu de payer une partie du coût de l'acheminement de l'eau jusqu'à la route la plus proche de sa parcelle, en fonction de la taille de la parcelle et du montant total nécessaire du site pour garantir l'accès à l'eau jusqu'à la route proche de la parcelle </w:t>
      </w:r>
      <w:r>
        <w:rPr>
          <w:lang w:val="fr-FR"/>
        </w:rPr>
      </w:r>
    </w:p>
    <w:p>
      <w:pPr>
        <w:pBdr/>
        <w:spacing w:after="165"/>
        <w:ind w:right="1" w:firstLine="0" w:left="-630"/>
        <w:rPr>
          <w:lang w:val="fr-FR"/>
        </w:rPr>
      </w:pPr>
      <w:r>
        <w:rPr>
          <w:b/>
          <w:lang w:val="fr-FR"/>
        </w:rPr>
        <w:t xml:space="preserve">Article 5</w:t>
      </w:r>
      <w:r>
        <w:rPr>
          <w:b/>
          <w:lang w:val="fr-FR"/>
        </w:rPr>
        <w:t xml:space="preserve"> : </w:t>
      </w:r>
      <w:r>
        <w:rPr>
          <w:lang w:val="fr-FR"/>
        </w:rPr>
        <w:t xml:space="preserve">Étant donné que ce </w:t>
      </w:r>
      <w:r>
        <w:rPr>
          <w:lang w:val="fr-FR"/>
        </w:rPr>
        <w:t xml:space="preserve">site</w:t>
      </w:r>
      <w:r>
        <w:rPr>
          <w:lang w:val="fr-FR"/>
        </w:rPr>
        <w:t xml:space="preserve"> sera composé de maisons de grande valeur et c</w:t>
      </w:r>
      <w:r>
        <w:rPr>
          <w:lang w:val="fr-FR"/>
        </w:rPr>
        <w:t xml:space="preserve">onstituer</w:t>
      </w:r>
      <w:r>
        <w:rPr>
          <w:lang w:val="fr-FR"/>
        </w:rPr>
        <w:t xml:space="preserve">a une communauté avec « Gated Community »</w:t>
      </w:r>
      <w:r>
        <w:rPr>
          <w:lang w:val="fr-FR"/>
        </w:rPr>
        <w:t xml:space="preserve">, où les personne</w:t>
      </w:r>
      <w:r>
        <w:rPr>
          <w:lang w:val="fr-FR"/>
        </w:rPr>
        <w:t xml:space="preserve">s extérieures ne pourront accéder qu’avec</w:t>
      </w:r>
      <w:r>
        <w:rPr>
          <w:lang w:val="fr-FR"/>
        </w:rPr>
        <w:t xml:space="preserve"> l'autorisation du propriétaire du terrain/de la maison, certaines règles doivent être respectées par tous les acheteurs de </w:t>
      </w:r>
      <w:r>
        <w:rPr>
          <w:lang w:val="fr-FR"/>
        </w:rPr>
        <w:t xml:space="preserve">parcelles</w:t>
      </w:r>
      <w:r>
        <w:rPr>
          <w:lang w:val="fr-FR"/>
        </w:rPr>
        <w:t xml:space="preserve"> : </w:t>
      </w:r>
      <w:r>
        <w:rPr>
          <w:lang w:val="fr-FR"/>
        </w:rPr>
      </w:r>
    </w:p>
    <w:p>
      <w:pPr>
        <w:numPr>
          <w:ilvl w:val="0"/>
          <w:numId w:val="1"/>
        </w:numPr>
        <w:pBdr/>
        <w:spacing w:before="240" w:line="276" w:lineRule="auto"/>
        <w:ind w:right="1" w:firstLine="0" w:left="180"/>
        <w:rPr>
          <w:lang w:val="fr-FR"/>
        </w:rPr>
      </w:pPr>
      <w:r>
        <w:rPr>
          <w:lang w:val="fr-FR"/>
        </w:rPr>
        <w:t xml:space="preserve">L'acheteur doit construire sur l'ensemble d</w:t>
      </w:r>
      <w:r>
        <w:rPr>
          <w:lang w:val="fr-FR"/>
        </w:rPr>
        <w:t xml:space="preserve">e la parcelle</w:t>
      </w:r>
      <w:r>
        <w:rPr>
          <w:lang w:val="fr-FR"/>
        </w:rPr>
        <w:t xml:space="preserve"> qu'il</w:t>
      </w:r>
      <w:r>
        <w:rPr>
          <w:lang w:val="fr-FR"/>
        </w:rPr>
        <w:t xml:space="preserve">/elle</w:t>
      </w:r>
      <w:r>
        <w:rPr>
          <w:lang w:val="fr-FR"/>
        </w:rPr>
        <w:t xml:space="preserve"> a acheté</w:t>
      </w:r>
      <w:r>
        <w:rPr>
          <w:lang w:val="fr-FR"/>
        </w:rPr>
        <w:t xml:space="preserve">e</w:t>
      </w:r>
      <w:r>
        <w:rPr>
          <w:lang w:val="fr-FR"/>
        </w:rPr>
        <w:t xml:space="preserve"> sans l</w:t>
      </w:r>
      <w:r>
        <w:rPr>
          <w:lang w:val="fr-FR"/>
        </w:rPr>
        <w:t xml:space="preserve">a</w:t>
      </w:r>
      <w:r>
        <w:rPr>
          <w:lang w:val="fr-FR"/>
        </w:rPr>
        <w:t xml:space="preserve"> subdiviser. </w:t>
      </w:r>
      <w:r>
        <w:rPr>
          <w:lang w:val="fr-FR"/>
        </w:rPr>
      </w:r>
    </w:p>
    <w:p>
      <w:pPr>
        <w:numPr>
          <w:ilvl w:val="0"/>
          <w:numId w:val="1"/>
        </w:numPr>
        <w:pBdr/>
        <w:spacing w:before="240" w:line="276" w:lineRule="auto"/>
        <w:ind w:right="1" w:firstLine="0" w:left="180"/>
        <w:rPr>
          <w:lang w:val="fr-FR"/>
        </w:rPr>
      </w:pPr>
      <w:r>
        <w:rPr>
          <w:lang w:val="fr-FR"/>
        </w:rPr>
        <w:t xml:space="preserve">L'acheteur n'est autorisé à construire qu'une s</w:t>
      </w:r>
      <w:r>
        <w:rPr>
          <w:lang w:val="fr-FR"/>
        </w:rPr>
        <w:t xml:space="preserve">eule maison individuelle en</w:t>
      </w:r>
      <w:r>
        <w:rPr>
          <w:lang w:val="fr-FR"/>
        </w:rPr>
        <w:t xml:space="preserve"> étage (une vill</w:t>
      </w:r>
      <w:r>
        <w:rPr>
          <w:lang w:val="fr-FR"/>
        </w:rPr>
        <w:t xml:space="preserve">a à deux niveaux</w:t>
      </w:r>
      <w:r>
        <w:rPr>
          <w:lang w:val="fr-FR"/>
        </w:rPr>
        <w:t xml:space="preserve">). </w:t>
      </w:r>
      <w:r>
        <w:rPr>
          <w:lang w:val="fr-FR"/>
        </w:rPr>
        <w:t xml:space="preserve"> </w:t>
      </w:r>
      <w:r>
        <w:rPr>
          <w:b/>
          <w:lang w:val="fr-FR"/>
        </w:rPr>
        <w:t xml:space="preserve">Il est absolument interdit de construire une maison à un seul niveau</w:t>
      </w:r>
      <w:r>
        <w:rPr>
          <w:lang w:val="fr-FR"/>
        </w:rPr>
        <w:t xml:space="preserve">. </w:t>
      </w:r>
      <w:r>
        <w:rPr>
          <w:lang w:val="fr-FR"/>
        </w:rPr>
        <w:t xml:space="preserve">En cas de violation de cette clause, l</w:t>
      </w:r>
      <w:r>
        <w:rPr>
          <w:lang w:val="fr-FR"/>
        </w:rPr>
        <w:t xml:space="preserve">e propriétaire du s</w:t>
      </w:r>
      <w:r>
        <w:rPr>
          <w:lang w:val="fr-FR"/>
        </w:rPr>
        <w:t xml:space="preserve">ite se réserve le plein droit de</w:t>
      </w:r>
      <w:r>
        <w:rPr>
          <w:lang w:val="fr-FR"/>
        </w:rPr>
        <w:t xml:space="preserve"> reprendre la parcelle acquise avec un remboursement de 90% du prix original de la parcelle. </w:t>
      </w:r>
      <w:r>
        <w:rPr>
          <w:lang w:val="fr-FR"/>
        </w:rPr>
      </w:r>
    </w:p>
    <w:p>
      <w:pPr>
        <w:numPr>
          <w:ilvl w:val="0"/>
          <w:numId w:val="1"/>
        </w:numPr>
        <w:pBdr/>
        <w:spacing w:before="240" w:line="276" w:lineRule="auto"/>
        <w:ind w:right="1" w:firstLine="0" w:left="180"/>
        <w:rPr>
          <w:lang w:val="fr-FR"/>
        </w:rPr>
      </w:pPr>
      <w:r>
        <w:rPr>
          <w:lang w:val="fr-FR"/>
        </w:rPr>
        <w:t xml:space="preserve">L’acheteur doit choisir un model </w:t>
      </w:r>
      <w:r>
        <w:rPr>
          <w:lang w:val="fr-FR"/>
        </w:rPr>
        <w:t xml:space="preserve">proposé</w:t>
      </w:r>
      <w:r>
        <w:rPr>
          <w:lang w:val="fr-FR"/>
        </w:rPr>
        <w:t xml:space="preserve"> par le </w:t>
      </w:r>
      <w:r>
        <w:rPr>
          <w:lang w:val="fr-FR"/>
        </w:rPr>
        <w:t xml:space="preserve">développer</w:t>
      </w:r>
      <w:r>
        <w:rPr>
          <w:lang w:val="fr-FR"/>
        </w:rPr>
        <w:t xml:space="preserve"> (Blue Waters </w:t>
      </w:r>
      <w:r>
        <w:rPr>
          <w:lang w:val="fr-FR"/>
        </w:rPr>
        <w:t xml:space="preserve">Estate</w:t>
      </w:r>
      <w:r>
        <w:rPr>
          <w:lang w:val="fr-FR"/>
        </w:rPr>
        <w:t xml:space="preserve">) ce model sera </w:t>
      </w:r>
      <w:r>
        <w:rPr>
          <w:lang w:val="fr-FR"/>
        </w:rPr>
        <w:t xml:space="preserve">proposé</w:t>
      </w:r>
      <w:r>
        <w:rPr>
          <w:lang w:val="fr-FR"/>
        </w:rPr>
        <w:t xml:space="preserve"> suivant les dimensions de la parcelle </w:t>
      </w:r>
      <w:r>
        <w:rPr>
          <w:lang w:val="fr-FR"/>
        </w:rPr>
        <w:t xml:space="preserve">achetée</w:t>
      </w:r>
      <w:r>
        <w:rPr>
          <w:lang w:val="fr-FR"/>
        </w:rPr>
        <w:t xml:space="preserve">.  Parmi 10 designs présentés, l’acheteur prendra un de son choix</w:t>
      </w:r>
      <w:r>
        <w:rPr>
          <w:lang w:val="fr-FR"/>
        </w:rPr>
      </w:r>
    </w:p>
    <w:p>
      <w:pPr>
        <w:numPr>
          <w:ilvl w:val="0"/>
          <w:numId w:val="1"/>
        </w:numPr>
        <w:pBdr/>
        <w:spacing w:before="240" w:line="276" w:lineRule="auto"/>
        <w:ind w:right="1" w:firstLine="0" w:left="180"/>
        <w:rPr>
          <w:lang w:val="fr-FR"/>
        </w:rPr>
      </w:pPr>
      <w:r>
        <w:rPr>
          <w:lang w:val="fr-FR"/>
        </w:rPr>
        <w:t xml:space="preserve">L'acheteur n'est pas autorisé à construire des appartements ou ce que l'on appelle des « duplex » ou des « maisons jumelées ». </w:t>
      </w:r>
      <w:r>
        <w:rPr>
          <w:lang w:val="fr-FR"/>
        </w:rPr>
      </w:r>
    </w:p>
    <w:p>
      <w:pPr>
        <w:numPr>
          <w:ilvl w:val="0"/>
          <w:numId w:val="1"/>
        </w:numPr>
        <w:pBdr/>
        <w:spacing w:before="240" w:line="276" w:lineRule="auto"/>
        <w:ind w:right="1" w:firstLine="0" w:left="180"/>
        <w:rPr>
          <w:lang w:val="fr-FR"/>
        </w:rPr>
      </w:pPr>
      <w:r>
        <w:rPr>
          <w:lang w:val="fr-FR"/>
        </w:rPr>
        <w:t xml:space="preserve">L'acheteur ne peut pas construire de magasins (boutiques) </w:t>
      </w:r>
      <w:r>
        <w:rPr>
          <w:lang w:val="fr-FR"/>
        </w:rPr>
        <w:t xml:space="preserve">dans sa parcelle</w:t>
      </w:r>
      <w:r>
        <w:rPr>
          <w:lang w:val="fr-FR"/>
        </w:rPr>
        <w:t xml:space="preserve">. Chaque parcelle est strictement réservée à une seule villa résidentielle. </w:t>
      </w:r>
      <w:r>
        <w:rPr>
          <w:lang w:val="fr-FR"/>
        </w:rPr>
      </w:r>
    </w:p>
    <w:p>
      <w:pPr>
        <w:numPr>
          <w:ilvl w:val="0"/>
          <w:numId w:val="1"/>
        </w:numPr>
        <w:pBdr/>
        <w:spacing w:before="240" w:line="276" w:lineRule="auto"/>
        <w:ind w:right="1" w:firstLine="0" w:left="180"/>
        <w:rPr>
          <w:lang w:val="fr-FR"/>
        </w:rPr>
      </w:pPr>
      <w:r>
        <w:rPr>
          <w:lang w:val="fr-FR"/>
        </w:rPr>
        <w:t xml:space="preserve">L'acheteur ne peut pas vendre </w:t>
      </w:r>
      <w:r>
        <w:rPr>
          <w:lang w:val="fr-FR"/>
        </w:rPr>
        <w:t xml:space="preserve">sa parcelle</w:t>
      </w:r>
      <w:r>
        <w:rPr>
          <w:lang w:val="fr-FR"/>
        </w:rPr>
        <w:t xml:space="preserve"> à une personne qui n'accepte pas de se conformer aux présentes conditions et à toutes les dispositions qui y sont incluses. </w:t>
      </w:r>
      <w:r>
        <w:rPr>
          <w:lang w:val="fr-FR"/>
        </w:rPr>
      </w:r>
    </w:p>
    <w:p>
      <w:pPr>
        <w:numPr>
          <w:ilvl w:val="0"/>
          <w:numId w:val="1"/>
        </w:numPr>
        <w:pBdr/>
        <w:spacing w:before="240" w:line="276" w:lineRule="auto"/>
        <w:ind w:right="1" w:firstLine="0" w:left="180"/>
        <w:rPr>
          <w:lang w:val="fr-FR"/>
        </w:rPr>
      </w:pPr>
      <w:r>
        <w:rPr>
          <w:lang w:val="fr-FR"/>
        </w:rPr>
        <w:t xml:space="preserve">L’acheteur </w:t>
      </w:r>
      <w:r>
        <w:rPr>
          <w:lang w:val="fr-FR"/>
        </w:rPr>
        <w:t xml:space="preserve">de la parcelle</w:t>
      </w:r>
      <w:r>
        <w:rPr>
          <w:lang w:val="fr-FR"/>
        </w:rPr>
        <w:t xml:space="preserve"> est tenu</w:t>
      </w:r>
      <w:r>
        <w:rPr>
          <w:lang w:val="fr-FR"/>
        </w:rPr>
        <w:t xml:space="preserve"> de verser une cotisation m</w:t>
      </w:r>
      <w:r>
        <w:rPr>
          <w:lang w:val="fr-FR"/>
        </w:rPr>
        <w:t xml:space="preserve">ensuelle pour</w:t>
      </w:r>
      <w:r>
        <w:rPr>
          <w:lang w:val="fr-FR"/>
        </w:rPr>
        <w:t xml:space="preserve"> l’entretien de la propreté, à la gestion de la sécurité, ainsi qu’à la maintenance des infrastructures dans Blue Waters </w:t>
      </w:r>
      <w:r>
        <w:rPr>
          <w:lang w:val="fr-FR"/>
        </w:rPr>
        <w:t xml:space="preserve">Estate</w:t>
      </w:r>
      <w:r>
        <w:rPr>
          <w:lang w:val="fr-FR"/>
        </w:rPr>
        <w:t xml:space="preserve"> (eau, routes, éclairage public), et pour toute autre initiative concernant le bien-être des résidents de Blue Waters </w:t>
      </w:r>
      <w:r>
        <w:rPr>
          <w:lang w:val="fr-FR"/>
        </w:rPr>
        <w:t xml:space="preserve">Estate</w:t>
      </w:r>
      <w:r>
        <w:rPr>
          <w:lang w:val="fr-FR"/>
        </w:rPr>
        <w:t xml:space="preserve">.</w:t>
      </w:r>
      <w:r>
        <w:rPr>
          <w:lang w:val="fr-FR"/>
        </w:rPr>
      </w:r>
    </w:p>
    <w:p>
      <w:pPr>
        <w:numPr>
          <w:ilvl w:val="0"/>
          <w:numId w:val="1"/>
        </w:numPr>
        <w:pBdr/>
        <w:spacing w:before="240" w:line="276" w:lineRule="auto"/>
        <w:ind w:right="1" w:firstLine="0" w:left="180"/>
        <w:rPr>
          <w:lang w:val="fr-FR"/>
        </w:rPr>
      </w:pPr>
      <w:r>
        <w:rPr>
          <w:lang w:val="fr-FR"/>
        </w:rPr>
        <w:t xml:space="preserve">Les autres règlements internes de Blue Waters </w:t>
      </w:r>
      <w:r>
        <w:rPr>
          <w:lang w:val="fr-FR"/>
        </w:rPr>
        <w:t xml:space="preserve">Estate</w:t>
      </w:r>
      <w:r>
        <w:rPr>
          <w:lang w:val="fr-FR"/>
        </w:rPr>
        <w:t xml:space="preserve"> seront établis par le promoteur, en collaboration avec les propriétaires fonciers ou leur association (si elle est créée), et devront être approuvés par le promoteur. </w:t>
      </w:r>
      <w:r>
        <w:rPr>
          <w:lang w:val="fr-FR"/>
        </w:rPr>
      </w:r>
    </w:p>
    <w:p>
      <w:pPr>
        <w:numPr>
          <w:ilvl w:val="0"/>
          <w:numId w:val="1"/>
        </w:numPr>
        <w:pBdr/>
        <w:spacing w:before="240" w:line="276" w:lineRule="auto"/>
        <w:ind w:right="1" w:firstLine="0" w:left="180"/>
        <w:rPr>
          <w:lang w:val="fr-FR"/>
        </w:rPr>
      </w:pPr>
      <w:r>
        <w:rPr>
          <w:lang w:val="fr-FR"/>
        </w:rPr>
        <w:t xml:space="preserve">Les prix des parcelles ont </w:t>
      </w:r>
      <w:r>
        <w:rPr>
          <w:lang w:val="fr-FR"/>
        </w:rPr>
        <w:t xml:space="preserve">êtes</w:t>
      </w:r>
      <w:r>
        <w:rPr>
          <w:lang w:val="fr-FR"/>
        </w:rPr>
        <w:t xml:space="preserve"> </w:t>
      </w:r>
      <w:r>
        <w:rPr>
          <w:lang w:val="fr-FR"/>
        </w:rPr>
        <w:t xml:space="preserve">établis</w:t>
      </w:r>
      <w:r>
        <w:rPr>
          <w:lang w:val="fr-FR"/>
        </w:rPr>
        <w:t xml:space="preserve"> selon le</w:t>
      </w:r>
      <w:r>
        <w:rPr>
          <w:lang w:val="fr-FR"/>
        </w:rPr>
        <w:t xml:space="preserve"> positionnement </w:t>
      </w:r>
      <w:r>
        <w:rPr>
          <w:lang w:val="fr-FR"/>
        </w:rPr>
        <w:t xml:space="preserve">des</w:t>
      </w:r>
      <w:r>
        <w:rPr>
          <w:lang w:val="fr-FR"/>
        </w:rPr>
        <w:t xml:space="preserve"> parcelle </w:t>
      </w:r>
      <w:r>
        <w:rPr>
          <w:lang w:val="fr-FR"/>
        </w:rPr>
        <w:t xml:space="preserve">par </w:t>
      </w:r>
      <w:r>
        <w:rPr>
          <w:lang w:val="fr-FR"/>
        </w:rPr>
        <w:t xml:space="preserve">rapport</w:t>
      </w:r>
      <w:r>
        <w:rPr>
          <w:lang w:val="fr-FR"/>
        </w:rPr>
        <w:t xml:space="preserve"> du site</w:t>
      </w:r>
      <w:r>
        <w:rPr>
          <w:lang w:val="fr-FR"/>
        </w:rPr>
        <w:t xml:space="preserve">, des routes principales ou secondaires</w:t>
      </w:r>
      <w:r>
        <w:rPr>
          <w:lang w:val="fr-FR"/>
        </w:rPr>
        <w:t xml:space="preserve"> et du Lac</w:t>
      </w:r>
      <w:r>
        <w:rPr>
          <w:lang w:val="fr-FR"/>
        </w:rPr>
        <w:t xml:space="preserve"> Tanganyika.  Les catégories sont : </w:t>
      </w:r>
      <w:r>
        <w:rPr>
          <w:b/>
          <w:lang w:val="fr-FR"/>
        </w:rPr>
        <w:t xml:space="preserve">parcelle standard</w:t>
      </w:r>
      <w:r>
        <w:rPr>
          <w:lang w:val="fr-FR"/>
        </w:rPr>
        <w:t xml:space="preserve">, </w:t>
      </w:r>
      <w:r>
        <w:rPr>
          <w:b/>
          <w:lang w:val="fr-FR"/>
        </w:rPr>
        <w:t xml:space="preserve">parcelle VIP et parcelle VVIP</w:t>
      </w:r>
      <w:r>
        <w:rPr>
          <w:lang w:val="fr-FR"/>
        </w:rPr>
      </w:r>
    </w:p>
    <w:p>
      <w:pPr>
        <w:pBdr/>
        <w:spacing/>
        <w:ind w:right="1" w:firstLine="0" w:left="180"/>
        <w:rPr>
          <w:lang w:val="fr-FR"/>
        </w:rPr>
      </w:pPr>
      <w:r>
        <w:rPr>
          <w:lang w:val="fr-FR"/>
        </w:rPr>
      </w:r>
      <w:r>
        <w:rPr>
          <w:lang w:val="fr-FR"/>
        </w:rPr>
      </w:r>
    </w:p>
    <w:p>
      <w:pPr>
        <w:pBdr/>
        <w:spacing w:after="80" w:line="277" w:lineRule="auto"/>
        <w:ind w:firstLine="0" w:left="-630"/>
        <w:jc w:val="left"/>
        <w:rPr>
          <w:b/>
          <w:lang w:val="fr-FR"/>
        </w:rPr>
      </w:pPr>
      <w:r>
        <w:rPr>
          <w:b/>
          <w:lang w:val="fr-FR"/>
        </w:rPr>
        <w:t xml:space="preserve">Article 6</w:t>
      </w:r>
      <w:r>
        <w:rPr>
          <w:b/>
          <w:lang w:val="fr-FR"/>
        </w:rPr>
        <w:t xml:space="preserve"> : </w:t>
      </w:r>
      <w:r>
        <w:rPr>
          <w:lang w:val="fr-FR"/>
        </w:rPr>
        <w:t xml:space="preserve">Tout acheteur qui possède une maison au sein du </w:t>
      </w:r>
      <w:r>
        <w:rPr>
          <w:lang w:val="fr-FR"/>
        </w:rPr>
        <w:t xml:space="preserve">site</w:t>
      </w:r>
      <w:r>
        <w:rPr>
          <w:lang w:val="fr-FR"/>
        </w:rPr>
        <w:t xml:space="preserve"> Blue Waters </w:t>
      </w:r>
      <w:r>
        <w:rPr>
          <w:lang w:val="fr-FR"/>
        </w:rPr>
        <w:t xml:space="preserve">Estate</w:t>
      </w:r>
      <w:r>
        <w:rPr>
          <w:lang w:val="fr-FR"/>
        </w:rPr>
        <w:t xml:space="preserve"> aura le droit d'accéder et d'utiliser la plage pr</w:t>
      </w:r>
      <w:r>
        <w:rPr>
          <w:lang w:val="fr-FR"/>
        </w:rPr>
        <w:t xml:space="preserve">ivée qui sera construite dans la zone</w:t>
      </w:r>
      <w:r>
        <w:rPr>
          <w:lang w:val="fr-FR"/>
        </w:rPr>
        <w:t xml:space="preserve"> de 150 mètres</w:t>
      </w:r>
      <w:r>
        <w:rPr>
          <w:lang w:val="fr-FR"/>
        </w:rPr>
        <w:t xml:space="preserve"> au large du Lac Tanganyika</w:t>
      </w:r>
      <w:r>
        <w:rPr>
          <w:lang w:val="fr-FR"/>
        </w:rPr>
        <w:t xml:space="preserve">, ainsi que d'</w:t>
      </w:r>
      <w:r>
        <w:rPr>
          <w:lang w:val="fr-FR"/>
        </w:rPr>
        <w:t xml:space="preserve">accéder aux services d'épicerie,</w:t>
      </w:r>
      <w:r>
        <w:rPr>
          <w:lang w:val="fr-FR"/>
        </w:rPr>
        <w:t xml:space="preserve"> une clinique/pharmacie</w:t>
      </w:r>
      <w:r>
        <w:rPr>
          <w:lang w:val="fr-FR"/>
        </w:rPr>
        <w:t xml:space="preserve">, gym, restaurant exclusif pour les </w:t>
      </w:r>
      <w:r>
        <w:rPr>
          <w:lang w:val="fr-FR"/>
        </w:rPr>
        <w:t xml:space="preserve">résidents</w:t>
      </w:r>
      <w:r>
        <w:rPr>
          <w:lang w:val="fr-FR"/>
        </w:rPr>
        <w:t xml:space="preserve">, salon de </w:t>
      </w:r>
      <w:r>
        <w:rPr>
          <w:lang w:val="fr-FR"/>
        </w:rPr>
        <w:t xml:space="preserve">coiffure et toute infrastructure jugée nécessaire par résidents</w:t>
      </w:r>
      <w:r>
        <w:rPr>
          <w:lang w:val="fr-FR"/>
        </w:rPr>
        <w:t xml:space="preserve">.</w:t>
      </w:r>
      <w:r>
        <w:rPr>
          <w:b/>
          <w:lang w:val="fr-FR"/>
        </w:rPr>
        <w:t xml:space="preserve"> </w:t>
      </w:r>
      <w:r>
        <w:rPr>
          <w:b/>
          <w:lang w:val="fr-FR"/>
        </w:rPr>
      </w:r>
    </w:p>
    <w:p>
      <w:pPr>
        <w:pBdr/>
        <w:spacing w:after="80" w:line="277" w:lineRule="auto"/>
        <w:ind w:firstLine="0" w:left="-630"/>
        <w:jc w:val="left"/>
        <w:rPr>
          <w:lang w:val="fr-FR"/>
        </w:rPr>
      </w:pPr>
      <w:r>
        <w:rPr>
          <w:lang w:val="fr-FR"/>
        </w:rPr>
      </w:r>
      <w:r>
        <w:rPr>
          <w:lang w:val="fr-FR"/>
        </w:rPr>
      </w:r>
    </w:p>
    <w:p>
      <w:pPr>
        <w:pBdr/>
        <w:spacing w:after="80" w:line="277" w:lineRule="auto"/>
        <w:ind w:firstLine="0" w:left="-630"/>
        <w:jc w:val="left"/>
        <w:rPr>
          <w:lang w:val="fr-FR"/>
        </w:rPr>
      </w:pPr>
      <w:r>
        <w:rPr>
          <w:b/>
          <w:lang w:val="fr-FR"/>
        </w:rPr>
        <w:t xml:space="preserve">Article 7</w:t>
      </w:r>
      <w:r>
        <w:rPr>
          <w:b/>
          <w:lang w:val="fr-FR"/>
        </w:rPr>
        <w:t xml:space="preserve"> : </w:t>
      </w:r>
      <w:r>
        <w:rPr>
          <w:lang w:val="fr-FR"/>
        </w:rPr>
        <w:t xml:space="preserve">Toute personne qui achète un</w:t>
      </w:r>
      <w:r>
        <w:rPr>
          <w:lang w:val="fr-FR"/>
        </w:rPr>
        <w:t xml:space="preserve">e parcelle </w:t>
      </w:r>
      <w:r>
        <w:rPr>
          <w:lang w:val="fr-FR"/>
        </w:rPr>
        <w:t xml:space="preserve">au sein du </w:t>
      </w:r>
      <w:r>
        <w:rPr>
          <w:lang w:val="fr-FR"/>
        </w:rPr>
        <w:t xml:space="preserve">site </w:t>
      </w:r>
      <w:r>
        <w:rPr>
          <w:lang w:val="fr-FR"/>
        </w:rPr>
        <w:t xml:space="preserve">Blue Waters </w:t>
      </w:r>
      <w:r>
        <w:rPr>
          <w:lang w:val="fr-FR"/>
        </w:rPr>
        <w:t xml:space="preserve">Estate</w:t>
      </w:r>
      <w:r>
        <w:rPr>
          <w:lang w:val="fr-FR"/>
        </w:rPr>
        <w:t xml:space="preserve"> et qui ne paie pas les frais</w:t>
      </w:r>
      <w:r>
        <w:rPr>
          <w:lang w:val="fr-FR"/>
        </w:rPr>
        <w:t xml:space="preserve"> de management  </w:t>
      </w:r>
      <w:bookmarkStart w:id="0" w:name="_GoBack"/>
      <w:r/>
      <w:bookmarkEnd w:id="0"/>
      <w:r>
        <w:rPr>
          <w:lang w:val="fr-FR"/>
        </w:rPr>
        <w:t xml:space="preserve">requis sera soumise à la suspension de tous les services fournis au sein du </w:t>
      </w:r>
      <w:r>
        <w:rPr>
          <w:lang w:val="fr-FR"/>
        </w:rPr>
        <w:t xml:space="preserve">site</w:t>
      </w:r>
      <w:r>
        <w:rPr>
          <w:lang w:val="fr-FR"/>
        </w:rPr>
        <w:t xml:space="preserve"> Blue Waters </w:t>
      </w:r>
      <w:r>
        <w:rPr>
          <w:lang w:val="fr-FR"/>
        </w:rPr>
        <w:t xml:space="preserve">Est</w:t>
      </w:r>
      <w:r>
        <w:rPr>
          <w:lang w:val="fr-FR"/>
        </w:rPr>
        <w:t xml:space="preserve">ate</w:t>
      </w:r>
      <w:r>
        <w:rPr>
          <w:lang w:val="fr-FR"/>
        </w:rPr>
        <w:t xml:space="preserve"> par le promoteur</w:t>
      </w:r>
      <w:r>
        <w:rPr>
          <w:lang w:val="fr-FR"/>
        </w:rPr>
        <w:t xml:space="preserve">. </w:t>
      </w:r>
      <w:r>
        <w:rPr>
          <w:lang w:val="fr-FR"/>
        </w:rPr>
      </w:r>
    </w:p>
    <w:p>
      <w:pPr>
        <w:pBdr/>
        <w:spacing w:after="80" w:line="277" w:lineRule="auto"/>
        <w:ind w:firstLine="0" w:left="-630"/>
        <w:jc w:val="left"/>
        <w:rPr>
          <w:lang w:val="fr-FR"/>
        </w:rPr>
      </w:pPr>
      <w:r>
        <w:rPr>
          <w:b/>
          <w:lang w:val="fr-FR"/>
        </w:rPr>
        <w:t xml:space="preserve">Article 8 :</w:t>
      </w:r>
      <w:r>
        <w:rPr>
          <w:lang w:val="fr-FR"/>
        </w:rPr>
        <w:t xml:space="preserve"> Responsabilité de Management compagnie : La compagnie sera en charge de la sécurité, la propreté</w:t>
      </w:r>
      <w:r>
        <w:rPr>
          <w:lang w:val="fr-FR"/>
        </w:rPr>
        <w:t xml:space="preserve"> du site</w:t>
      </w:r>
      <w:r>
        <w:rPr>
          <w:lang w:val="fr-FR"/>
        </w:rPr>
        <w:t xml:space="preserve">, </w:t>
      </w:r>
      <w:r>
        <w:rPr>
          <w:lang w:val="fr-FR"/>
        </w:rPr>
        <w:t xml:space="preserve">jardinage, maintenance et </w:t>
      </w:r>
      <w:r>
        <w:rPr>
          <w:lang w:val="fr-FR"/>
        </w:rPr>
        <w:t xml:space="preserve">réparation des équipements dans le site, la recherche des locataires (court terme ou long terme) des maisons de tout le site </w:t>
      </w:r>
      <w:r>
        <w:rPr>
          <w:b/>
          <w:lang w:val="fr-FR"/>
        </w:rPr>
        <w:t xml:space="preserve">en représentant les acquéreurs</w:t>
      </w:r>
      <w:r>
        <w:rPr>
          <w:lang w:val="fr-FR"/>
        </w:rPr>
        <w:t xml:space="preserve"> de toutes les maisons du site</w:t>
      </w:r>
      <w:r>
        <w:rPr>
          <w:lang w:val="fr-FR"/>
        </w:rPr>
        <w:t xml:space="preserve">. </w:t>
      </w:r>
      <w:r>
        <w:rPr>
          <w:lang w:val="fr-FR"/>
        </w:rPr>
      </w:r>
    </w:p>
    <w:p>
      <w:pPr>
        <w:pBdr/>
        <w:spacing w:after="80" w:line="277" w:lineRule="auto"/>
        <w:ind w:firstLine="0" w:left="-630"/>
        <w:jc w:val="left"/>
        <w:rPr>
          <w:b/>
          <w:lang w:val="fr-FR"/>
        </w:rPr>
      </w:pPr>
      <w:r>
        <w:rPr>
          <w:b/>
          <w:lang w:val="fr-FR"/>
        </w:rPr>
      </w:r>
      <w:r>
        <w:rPr>
          <w:b/>
          <w:lang w:val="fr-FR"/>
        </w:rPr>
      </w:r>
    </w:p>
    <w:p>
      <w:pPr>
        <w:pBdr/>
        <w:spacing w:after="80" w:line="277" w:lineRule="auto"/>
        <w:ind w:firstLine="0" w:left="-630"/>
        <w:jc w:val="left"/>
        <w:rPr>
          <w:lang w:val="fr-FR"/>
        </w:rPr>
      </w:pPr>
      <w:r>
        <w:rPr>
          <w:b/>
          <w:lang w:val="fr-FR"/>
        </w:rPr>
        <w:t xml:space="preserve">Article 9</w:t>
      </w:r>
      <w:r>
        <w:rPr>
          <w:lang w:val="fr-FR"/>
        </w:rPr>
        <w:t xml:space="preserve"> : </w:t>
      </w:r>
      <w:r>
        <w:rPr>
          <w:lang w:val="fr-FR"/>
        </w:rPr>
        <w:t xml:space="preserve">L'acheteur</w:t>
      </w:r>
      <w:r>
        <w:rPr>
          <w:lang w:val="fr-FR"/>
        </w:rPr>
        <w:t xml:space="preserve"> de la parcelle</w:t>
      </w:r>
      <w:r>
        <w:rPr>
          <w:lang w:val="fr-FR"/>
        </w:rPr>
        <w:t xml:space="preserve"> n'est propriétaire que de la parcelle qu'il a achetée. Toutes les autres zones du site</w:t>
      </w:r>
      <w:r>
        <w:rPr>
          <w:lang w:val="fr-FR"/>
        </w:rPr>
        <w:t xml:space="preserve">, telles que les routes, les bâtiments et leurs noms et toute autres infrastructures érigées dans BWE</w:t>
      </w:r>
      <w:r>
        <w:rPr>
          <w:lang w:val="fr-FR"/>
        </w:rPr>
        <w:t xml:space="preserve"> restent la propriété </w:t>
      </w:r>
      <w:r>
        <w:rPr>
          <w:lang w:val="fr-FR"/>
        </w:rPr>
        <w:t xml:space="preserve">privée</w:t>
      </w:r>
      <w:r>
        <w:rPr>
          <w:lang w:val="fr-FR"/>
        </w:rPr>
        <w:t xml:space="preserve"> de Blue Waters </w:t>
      </w:r>
      <w:r>
        <w:rPr>
          <w:lang w:val="fr-FR"/>
        </w:rPr>
        <w:t xml:space="preserve">Estate</w:t>
      </w:r>
      <w:r>
        <w:rPr>
          <w:lang w:val="fr-FR"/>
        </w:rPr>
        <w:t xml:space="preserve"> (le promoteur). </w:t>
      </w:r>
      <w:r>
        <w:rPr>
          <w:lang w:val="fr-FR"/>
        </w:rPr>
        <w:t xml:space="preserve">L'acheteur accepte et s'engage à respecter tous les règlements et clauses établis par Blue Waters </w:t>
      </w:r>
      <w:r>
        <w:rPr>
          <w:lang w:val="fr-FR"/>
        </w:rPr>
        <w:t xml:space="preserve">Estate</w:t>
      </w:r>
      <w:r>
        <w:rPr>
          <w:lang w:val="fr-FR"/>
        </w:rPr>
        <w:t xml:space="preserve"> pour le bien être des résidents</w:t>
      </w:r>
      <w:r>
        <w:rPr>
          <w:lang w:val="fr-FR"/>
        </w:rPr>
      </w:r>
    </w:p>
    <w:p>
      <w:pPr>
        <w:pBdr/>
        <w:spacing w:after="80" w:line="277" w:lineRule="auto"/>
        <w:ind w:firstLine="0" w:left="-630"/>
        <w:jc w:val="left"/>
        <w:rPr>
          <w:lang w:val="fr-FR"/>
        </w:rPr>
      </w:pPr>
      <w:r>
        <w:rPr>
          <w:lang w:val="fr-FR"/>
        </w:rPr>
      </w:r>
      <w:r>
        <w:rPr>
          <w:lang w:val="fr-FR"/>
        </w:rPr>
      </w:r>
    </w:p>
    <w:p>
      <w:pPr>
        <w:pBdr/>
        <w:spacing w:after="80" w:line="277" w:lineRule="auto"/>
        <w:ind w:firstLine="0" w:left="-630"/>
        <w:jc w:val="left"/>
        <w:rPr>
          <w:szCs w:val="22"/>
          <w:lang w:val="fr-FR"/>
        </w:rPr>
      </w:pPr>
      <w:r>
        <w:rPr>
          <w:szCs w:val="22"/>
          <w:lang w:val="fr-FR"/>
        </w:rPr>
      </w:r>
      <w:r>
        <w:rPr>
          <w:szCs w:val="22"/>
          <w:lang w:val="fr-FR"/>
        </w:rPr>
      </w:r>
    </w:p>
    <w:p>
      <w:pPr>
        <w:pBdr/>
        <w:spacing/>
        <w:ind/>
        <w:rPr>
          <w:b/>
          <w:szCs w:val="22"/>
          <w:u w:val="single"/>
          <w:lang w:val="fr-FR"/>
        </w:rPr>
      </w:pPr>
      <w:r>
        <w:rPr>
          <w:b/>
          <w:szCs w:val="22"/>
          <w:u w:val="single"/>
          <w:lang w:val="fr-FR"/>
        </w:rPr>
      </w:r>
      <w:r>
        <w:rPr>
          <w:b/>
          <w:szCs w:val="22"/>
          <w:u w:val="single"/>
          <w:lang w:val="fr-FR"/>
        </w:rPr>
      </w:r>
    </w:p>
    <w:p>
      <w:pPr>
        <w:pBdr/>
        <w:spacing/>
        <w:ind/>
        <w:rPr>
          <w:szCs w:val="22"/>
          <w:lang w:val="fr-FR"/>
        </w:rPr>
      </w:pPr>
      <w:r>
        <w:rPr>
          <w:b/>
          <w:szCs w:val="22"/>
          <w:u w:val="single"/>
          <w:lang w:val="fr-FR"/>
        </w:rPr>
        <w:t xml:space="preserve">VENDEUR</w:t>
      </w:r>
      <w:r>
        <w:rPr>
          <w:szCs w:val="22"/>
          <w:lang w:val="fr-FR"/>
        </w:rPr>
        <w:t xml:space="preserve">                                                                              </w:t>
      </w:r>
      <w:r>
        <w:rPr>
          <w:b/>
          <w:szCs w:val="22"/>
          <w:u w:val="single"/>
          <w:lang w:val="fr-FR"/>
        </w:rPr>
        <w:t xml:space="preserve">ACHETEUR</w:t>
      </w:r>
      <w:r>
        <w:rPr>
          <w:szCs w:val="22"/>
          <w:lang w:val="fr-FR"/>
        </w:rPr>
      </w:r>
    </w:p>
    <w:p>
      <w:pPr>
        <w:pStyle w:val="745"/>
        <w:pBdr/>
        <w:shd w:val="clear" w:color="auto" w:fill="ffffff"/>
        <w:spacing w:after="400" w:afterAutospacing="0" w:before="0" w:beforeAutospacing="0"/>
        <w:ind/>
        <w:jc w:val="both"/>
        <w:rPr>
          <w:sz w:val="22"/>
          <w:szCs w:val="22"/>
          <w:lang w:val="fr-FR"/>
        </w:rPr>
      </w:pPr>
      <w:r>
        <w:rPr>
          <w:sz w:val="22"/>
          <w:szCs w:val="22"/>
          <w:lang w:val="fr-FR"/>
        </w:rPr>
        <w:t xml:space="preserve">Blue Waters </w:t>
      </w:r>
      <w:r>
        <w:rPr>
          <w:sz w:val="22"/>
          <w:szCs w:val="22"/>
          <w:lang w:val="fr-FR"/>
        </w:rPr>
        <w:t xml:space="preserve">Estate</w:t>
      </w:r>
      <w:r>
        <w:rPr>
          <w:sz w:val="22"/>
          <w:szCs w:val="22"/>
          <w:lang w:val="fr-FR"/>
        </w:rPr>
        <w:t xml:space="preserve"> </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w:t>
      </w:r>
      <w:r>
        <w:rPr>
          <w:sz w:val="22"/>
          <w:szCs w:val="22"/>
          <w:lang w:val="fr-FR"/>
        </w:rPr>
        <w:t xml:space="preserve">..</w:t>
      </w:r>
      <w:r>
        <w:rPr>
          <w:sz w:val="22"/>
          <w:szCs w:val="22"/>
          <w:lang w:val="fr-FR"/>
        </w:rPr>
      </w:r>
    </w:p>
    <w:p>
      <w:pPr>
        <w:pStyle w:val="745"/>
        <w:pBdr/>
        <w:shd w:val="clear" w:color="auto" w:fill="ffffff"/>
        <w:spacing w:after="400" w:afterAutospacing="0" w:before="0" w:beforeAutospacing="0"/>
        <w:ind/>
        <w:jc w:val="both"/>
        <w:rPr>
          <w:sz w:val="22"/>
          <w:szCs w:val="22"/>
          <w:lang w:val="fr-FR"/>
        </w:rPr>
      </w:pPr>
      <w:r>
        <w:rPr>
          <w:sz w:val="22"/>
          <w:szCs w:val="22"/>
          <w:lang w:val="fr-FR"/>
        </w:rPr>
        <w:t xml:space="preserve">Signature</w:t>
      </w:r>
      <w:r>
        <w:rPr>
          <w:sz w:val="22"/>
          <w:szCs w:val="22"/>
          <w:lang w:val="fr-FR"/>
        </w:rPr>
        <w:t xml:space="preserve">: </w:t>
      </w:r>
      <w:r>
        <w:rPr>
          <w:rFonts w:ascii="Brush Script MT Italic" w:hAnsi="Brush Script MT Italic" w:cs="Brush Script MT Italic"/>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 xml:space="preserve">Signature</w:t>
      </w:r>
      <w:r>
        <w:rPr>
          <w:sz w:val="22"/>
          <w:szCs w:val="22"/>
          <w:lang w:val="fr-FR"/>
        </w:rPr>
        <w:t xml:space="preserve">:</w:t>
      </w:r>
      <w:r>
        <w:rPr>
          <w:sz w:val="22"/>
          <w:szCs w:val="22"/>
          <w:lang w:val="fr-FR"/>
        </w:rPr>
      </w:r>
    </w:p>
    <w:p>
      <w:pPr>
        <w:pStyle w:val="745"/>
        <w:pBdr/>
        <w:shd w:val="clear" w:color="auto" w:fill="ffffff"/>
        <w:spacing w:after="400" w:afterAutospacing="0" w:before="0" w:beforeAutospacing="0"/>
        <w:ind/>
        <w:jc w:val="both"/>
        <w:rPr>
          <w:sz w:val="22"/>
          <w:szCs w:val="22"/>
          <w:lang w:val="fr-BE"/>
        </w:rPr>
      </w:pPr>
      <w:r>
        <w:rPr>
          <w:sz w:val="22"/>
          <w:szCs w:val="22"/>
          <w:lang w:val="fr-FR"/>
        </w:rPr>
        <w:t xml:space="preserve">Date</w:t>
      </w:r>
      <w:r>
        <w:rPr>
          <w:sz w:val="22"/>
          <w:szCs w:val="22"/>
          <w:lang w:val="fr-FR"/>
        </w:rPr>
        <w:t xml:space="preserve">: </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BE"/>
        </w:rPr>
        <w:t xml:space="preserve">                 </w:t>
      </w:r>
      <w:r>
        <w:rPr>
          <w:sz w:val="22"/>
          <w:szCs w:val="22"/>
          <w:lang w:val="fr-BE"/>
        </w:rPr>
        <w:tab/>
      </w:r>
      <w:r>
        <w:rPr>
          <w:sz w:val="22"/>
          <w:szCs w:val="22"/>
          <w:lang w:val="fr-BE"/>
        </w:rPr>
        <w:t xml:space="preserve">Date</w:t>
      </w:r>
      <w:r>
        <w:rPr>
          <w:sz w:val="22"/>
          <w:szCs w:val="22"/>
          <w:lang w:val="fr-BE"/>
        </w:rPr>
        <w:t xml:space="preserve">: </w:t>
      </w:r>
      <w:r>
        <w:rPr>
          <w:sz w:val="22"/>
          <w:szCs w:val="22"/>
          <w:lang w:val="fr-BE"/>
        </w:rPr>
      </w:r>
    </w:p>
    <w:p>
      <w:pPr>
        <w:pStyle w:val="745"/>
        <w:pBdr/>
        <w:shd w:val="clear" w:color="auto" w:fill="ffffff"/>
        <w:spacing w:after="400" w:afterAutospacing="0" w:before="0" w:beforeAutospacing="0"/>
        <w:ind w:firstLine="708" w:left="708"/>
        <w:jc w:val="both"/>
        <w:rPr>
          <w:sz w:val="22"/>
          <w:szCs w:val="22"/>
          <w:lang w:val="fr-BE"/>
        </w:rPr>
      </w:pPr>
      <w:r>
        <w:rPr>
          <w:sz w:val="22"/>
          <w:szCs w:val="22"/>
          <w:lang w:val="fr-BE"/>
        </w:rPr>
      </w:r>
      <w:r>
        <w:rPr>
          <w:sz w:val="22"/>
          <w:szCs w:val="22"/>
          <w:lang w:val="fr-BE"/>
        </w:rPr>
      </w:r>
    </w:p>
    <w:p>
      <w:pPr>
        <w:pStyle w:val="745"/>
        <w:pBdr/>
        <w:shd w:val="clear" w:color="auto" w:fill="ffffff"/>
        <w:spacing w:after="400" w:afterAutospacing="0" w:before="0" w:beforeAutospacing="0"/>
        <w:ind w:firstLine="708" w:left="708"/>
        <w:jc w:val="both"/>
        <w:rPr>
          <w:sz w:val="22"/>
          <w:szCs w:val="22"/>
          <w:lang w:val="fr-BE"/>
        </w:rPr>
      </w:pPr>
      <w:r>
        <w:rPr>
          <w:sz w:val="22"/>
          <w:szCs w:val="22"/>
          <w:lang w:val="fr-BE"/>
        </w:rPr>
      </w:r>
      <w:r>
        <w:rPr>
          <w:sz w:val="22"/>
          <w:szCs w:val="22"/>
          <w:lang w:val="fr-BE"/>
        </w:rPr>
      </w:r>
    </w:p>
    <w:p>
      <w:pPr>
        <w:pStyle w:val="745"/>
        <w:pBdr/>
        <w:shd w:val="clear" w:color="auto" w:fill="ffffff"/>
        <w:spacing w:after="400" w:afterAutospacing="0" w:before="0" w:beforeAutospacing="0"/>
        <w:ind w:firstLine="708" w:left="708"/>
        <w:jc w:val="both"/>
        <w:rPr>
          <w:sz w:val="22"/>
          <w:szCs w:val="22"/>
          <w:lang w:val="fr-BE"/>
        </w:rPr>
      </w:pPr>
      <w:r>
        <w:rPr>
          <w:sz w:val="22"/>
          <w:szCs w:val="22"/>
          <w:lang w:val="fr-BE"/>
        </w:rPr>
      </w:r>
      <w:r>
        <w:rPr>
          <w:sz w:val="22"/>
          <w:szCs w:val="22"/>
          <w:lang w:val="fr-BE"/>
        </w:rPr>
      </w:r>
    </w:p>
    <w:p>
      <w:pPr>
        <w:pStyle w:val="745"/>
        <w:pBdr/>
        <w:shd w:val="clear" w:color="auto" w:fill="ffffff"/>
        <w:spacing w:after="400" w:afterAutospacing="0" w:before="0" w:beforeAutospacing="0"/>
        <w:ind w:firstLine="708" w:left="708"/>
        <w:jc w:val="both"/>
        <w:rPr>
          <w:sz w:val="22"/>
          <w:szCs w:val="22"/>
          <w:lang w:val="fr-BE"/>
        </w:rPr>
      </w:pPr>
      <w:r>
        <w:rPr>
          <w:sz w:val="22"/>
          <w:szCs w:val="22"/>
          <w:lang w:val="fr-BE"/>
        </w:rPr>
      </w:r>
      <w:r>
        <w:rPr>
          <w:sz w:val="22"/>
          <w:szCs w:val="22"/>
          <w:lang w:val="fr-BE"/>
        </w:rPr>
      </w:r>
    </w:p>
    <w:sectPr>
      <w:footerReference w:type="default" r:id="rId9"/>
      <w:footerReference w:type="even" r:id="rId10"/>
      <w:footnotePr/>
      <w:endnotePr/>
      <w:type w:val="nextPage"/>
      <w:pgSz w:h="15840" w:orient="portrait" w:w="12240"/>
      <w:pgMar w:top="1488" w:right="720" w:bottom="1649" w:left="1441"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rush Script MT Italic">
    <w:panose1 w:val="05040102010807070707"/>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8"/>
      <w:framePr w:hAnchor="margin" w:vAnchor="text" w:wrap="around" w:xAlign="right" w:y="1"/>
      <w:pBdr/>
      <w:spacing/>
      <w:ind/>
      <w:rPr>
        <w:rStyle w:val="755"/>
      </w:rPr>
    </w:pPr>
    <w:r>
      <w:rPr>
        <w:rStyle w:val="755"/>
      </w:rPr>
      <w:fldChar w:fldCharType="begin"/>
    </w:r>
    <w:r>
      <w:rPr>
        <w:rStyle w:val="755"/>
      </w:rPr>
      <w:instrText xml:space="preserve">PAGE  </w:instrText>
    </w:r>
    <w:r>
      <w:rPr>
        <w:rStyle w:val="755"/>
      </w:rPr>
      <w:fldChar w:fldCharType="separate"/>
    </w:r>
    <w:r>
      <w:rPr>
        <w:rStyle w:val="755"/>
      </w:rPr>
      <w:t xml:space="preserve">3</w:t>
    </w:r>
    <w:r>
      <w:rPr>
        <w:rStyle w:val="755"/>
      </w:rPr>
      <w:fldChar w:fldCharType="end"/>
    </w:r>
    <w:r>
      <w:rPr>
        <w:rStyle w:val="755"/>
      </w:rPr>
    </w:r>
  </w:p>
  <w:p>
    <w:pPr>
      <w:pStyle w:val="748"/>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8"/>
      <w:framePr w:hAnchor="margin" w:vAnchor="text" w:wrap="around" w:xAlign="right" w:y="1"/>
      <w:pBdr/>
      <w:spacing/>
      <w:ind/>
      <w:rPr>
        <w:rStyle w:val="755"/>
      </w:rPr>
    </w:pPr>
    <w:r>
      <w:rPr>
        <w:rStyle w:val="755"/>
      </w:rPr>
      <w:fldChar w:fldCharType="begin"/>
    </w:r>
    <w:r>
      <w:rPr>
        <w:rStyle w:val="755"/>
      </w:rPr>
      <w:instrText xml:space="preserve">PAGE  </w:instrText>
    </w:r>
    <w:r>
      <w:rPr>
        <w:rStyle w:val="755"/>
      </w:rPr>
      <w:fldChar w:fldCharType="end"/>
    </w:r>
    <w:r>
      <w:rPr>
        <w:rStyle w:val="755"/>
      </w:rPr>
    </w:r>
  </w:p>
  <w:p>
    <w:pPr>
      <w:pStyle w:val="748"/>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D1670C"/>
    <w:lvl w:ilvl="0">
      <w:isLgl w:val="false"/>
      <w:lvlJc w:val="left"/>
      <w:lvlText w:val="%1."/>
      <w:numFmt w:val="lowerLetter"/>
      <w:pPr>
        <w:pBdr/>
        <w:spacing/>
        <w:ind w:hanging="360" w:left="-270"/>
      </w:pPr>
      <w:rPr>
        <w:rFonts w:hint="default"/>
      </w:rPr>
      <w:start w:val="1"/>
      <w:suff w:val="tab"/>
    </w:lvl>
    <w:lvl w:ilvl="1">
      <w:isLgl w:val="false"/>
      <w:lvlJc w:val="left"/>
      <w:lvlText w:val="%2."/>
      <w:numFmt w:val="lowerLetter"/>
      <w:pPr>
        <w:pBdr/>
        <w:spacing/>
        <w:ind w:hanging="360" w:left="450"/>
      </w:pPr>
      <w:rPr/>
      <w:start w:val="1"/>
      <w:suff w:val="tab"/>
    </w:lvl>
    <w:lvl w:ilvl="2">
      <w:isLgl w:val="false"/>
      <w:lvlJc w:val="right"/>
      <w:lvlText w:val="%3."/>
      <w:numFmt w:val="lowerRoman"/>
      <w:pPr>
        <w:pBdr/>
        <w:spacing/>
        <w:ind w:hanging="180" w:left="1170"/>
      </w:pPr>
      <w:rPr/>
      <w:start w:val="1"/>
      <w:suff w:val="tab"/>
    </w:lvl>
    <w:lvl w:ilvl="3">
      <w:isLgl w:val="false"/>
      <w:lvlJc w:val="left"/>
      <w:lvlText w:val="%4."/>
      <w:numFmt w:val="decimal"/>
      <w:pPr>
        <w:pBdr/>
        <w:spacing/>
        <w:ind w:hanging="360" w:left="1890"/>
      </w:pPr>
      <w:rPr/>
      <w:start w:val="1"/>
      <w:suff w:val="tab"/>
    </w:lvl>
    <w:lvl w:ilvl="4">
      <w:isLgl w:val="false"/>
      <w:lvlJc w:val="left"/>
      <w:lvlText w:val="%5."/>
      <w:numFmt w:val="lowerLetter"/>
      <w:pPr>
        <w:pBdr/>
        <w:spacing/>
        <w:ind w:hanging="360" w:left="2610"/>
      </w:pPr>
      <w:rPr/>
      <w:start w:val="1"/>
      <w:suff w:val="tab"/>
    </w:lvl>
    <w:lvl w:ilvl="5">
      <w:isLgl w:val="false"/>
      <w:lvlJc w:val="right"/>
      <w:lvlText w:val="%6."/>
      <w:numFmt w:val="lowerRoman"/>
      <w:pPr>
        <w:pBdr/>
        <w:spacing/>
        <w:ind w:hanging="180" w:left="3330"/>
      </w:pPr>
      <w:rPr/>
      <w:start w:val="1"/>
      <w:suff w:val="tab"/>
    </w:lvl>
    <w:lvl w:ilvl="6">
      <w:isLgl w:val="false"/>
      <w:lvlJc w:val="left"/>
      <w:lvlText w:val="%7."/>
      <w:numFmt w:val="decimal"/>
      <w:pPr>
        <w:pBdr/>
        <w:spacing/>
        <w:ind w:hanging="360" w:left="4050"/>
      </w:pPr>
      <w:rPr/>
      <w:start w:val="1"/>
      <w:suff w:val="tab"/>
    </w:lvl>
    <w:lvl w:ilvl="7">
      <w:isLgl w:val="false"/>
      <w:lvlJc w:val="left"/>
      <w:lvlText w:val="%8."/>
      <w:numFmt w:val="lowerLetter"/>
      <w:pPr>
        <w:pBdr/>
        <w:spacing/>
        <w:ind w:hanging="360" w:left="4770"/>
      </w:pPr>
      <w:rPr/>
      <w:start w:val="1"/>
      <w:suff w:val="tab"/>
    </w:lvl>
    <w:lvl w:ilvl="8">
      <w:isLgl w:val="false"/>
      <w:lvlJc w:val="right"/>
      <w:lvlText w:val="%9."/>
      <w:numFmt w:val="lowerRoman"/>
      <w:pPr>
        <w:pBdr/>
        <w:spacing/>
        <w:ind w:hanging="180" w:left="5490"/>
      </w:pPr>
      <w:rPr/>
      <w:start w:val="1"/>
      <w:suff w:val="tab"/>
    </w:lvl>
  </w:abstractNum>
  <w:abstractNum w:abstractNumId="1">
    <w:nsid w:val="46EC1AE2"/>
    <w:lvl w:ilvl="0">
      <w:isLgl w:val="false"/>
      <w:lvlJc w:val="left"/>
      <w:lvlText w:val="%1."/>
      <w:numFmt w:val="lowerLetter"/>
      <w:pPr>
        <w:pBdr/>
        <w:spacing/>
        <w:ind w:left="0"/>
      </w:pPr>
      <w:rPr>
        <w:rFonts w:ascii="Times New Roman" w:hAnsi="Times New Roman" w:eastAsia="Times New Roman" w:cs="Times New Roman"/>
        <w:b w:val="0"/>
        <w:i w:val="0"/>
        <w:strike w:val="0"/>
        <w:color w:val="000000"/>
        <w:sz w:val="22"/>
        <w:szCs w:val="22"/>
        <w:u w:val="none"/>
        <w:shd w:val="clear" w:color="auto" w:fill="auto"/>
        <w:vertAlign w:val="baseline"/>
      </w:rPr>
      <w:start w:val="1"/>
      <w:suff w:val="tab"/>
    </w:lvl>
    <w:lvl w:ilvl="1">
      <w:isLgl w:val="false"/>
      <w:lvlJc w:val="left"/>
      <w:lvlText w:val="%2"/>
      <w:numFmt w:val="lowerLetter"/>
      <w:pPr>
        <w:pBdr/>
        <w:spacing/>
        <w:ind w:left="720"/>
      </w:pPr>
      <w:rPr>
        <w:rFonts w:ascii="Times New Roman" w:hAnsi="Times New Roman" w:eastAsia="Times New Roman" w:cs="Times New Roman"/>
        <w:b w:val="0"/>
        <w:i w:val="0"/>
        <w:strike w:val="0"/>
        <w:color w:val="000000"/>
        <w:sz w:val="22"/>
        <w:szCs w:val="22"/>
        <w:u w:val="none"/>
        <w:shd w:val="clear" w:color="auto" w:fill="auto"/>
        <w:vertAlign w:val="baseline"/>
      </w:rPr>
      <w:start w:val="1"/>
      <w:suff w:val="tab"/>
    </w:lvl>
    <w:lvl w:ilvl="2">
      <w:isLgl w:val="false"/>
      <w:lvlJc w:val="left"/>
      <w:lvlText w:val="%3"/>
      <w:numFmt w:val="lowerRoman"/>
      <w:pPr>
        <w:pBdr/>
        <w:spacing/>
        <w:ind w:left="1440"/>
      </w:pPr>
      <w:rPr>
        <w:rFonts w:ascii="Times New Roman" w:hAnsi="Times New Roman" w:eastAsia="Times New Roman" w:cs="Times New Roman"/>
        <w:b w:val="0"/>
        <w:i w:val="0"/>
        <w:strike w:val="0"/>
        <w:color w:val="000000"/>
        <w:sz w:val="22"/>
        <w:szCs w:val="22"/>
        <w:u w:val="none"/>
        <w:shd w:val="clear" w:color="auto" w:fill="auto"/>
        <w:vertAlign w:val="baseline"/>
      </w:rPr>
      <w:start w:val="1"/>
      <w:suff w:val="tab"/>
    </w:lvl>
    <w:lvl w:ilvl="3">
      <w:isLgl w:val="false"/>
      <w:lvlJc w:val="left"/>
      <w:lvlText w:val="%4"/>
      <w:numFmt w:val="decimal"/>
      <w:pPr>
        <w:pBdr/>
        <w:spacing/>
        <w:ind w:left="2160"/>
      </w:pPr>
      <w:rPr>
        <w:rFonts w:ascii="Times New Roman" w:hAnsi="Times New Roman" w:eastAsia="Times New Roman" w:cs="Times New Roman"/>
        <w:b w:val="0"/>
        <w:i w:val="0"/>
        <w:strike w:val="0"/>
        <w:color w:val="000000"/>
        <w:sz w:val="22"/>
        <w:szCs w:val="22"/>
        <w:u w:val="none"/>
        <w:shd w:val="clear" w:color="auto" w:fill="auto"/>
        <w:vertAlign w:val="baseline"/>
      </w:rPr>
      <w:start w:val="1"/>
      <w:suff w:val="tab"/>
    </w:lvl>
    <w:lvl w:ilvl="4">
      <w:isLgl w:val="false"/>
      <w:lvlJc w:val="left"/>
      <w:lvlText w:val="%5"/>
      <w:numFmt w:val="lowerLetter"/>
      <w:pPr>
        <w:pBdr/>
        <w:spacing/>
        <w:ind w:left="2880"/>
      </w:pPr>
      <w:rPr>
        <w:rFonts w:ascii="Times New Roman" w:hAnsi="Times New Roman" w:eastAsia="Times New Roman" w:cs="Times New Roman"/>
        <w:b w:val="0"/>
        <w:i w:val="0"/>
        <w:strike w:val="0"/>
        <w:color w:val="000000"/>
        <w:sz w:val="22"/>
        <w:szCs w:val="22"/>
        <w:u w:val="none"/>
        <w:shd w:val="clear" w:color="auto" w:fill="auto"/>
        <w:vertAlign w:val="baseline"/>
      </w:rPr>
      <w:start w:val="1"/>
      <w:suff w:val="tab"/>
    </w:lvl>
    <w:lvl w:ilvl="5">
      <w:isLgl w:val="false"/>
      <w:lvlJc w:val="left"/>
      <w:lvlText w:val="%6"/>
      <w:numFmt w:val="lowerRoman"/>
      <w:pPr>
        <w:pBdr/>
        <w:spacing/>
        <w:ind w:left="3600"/>
      </w:pPr>
      <w:rPr>
        <w:rFonts w:ascii="Times New Roman" w:hAnsi="Times New Roman" w:eastAsia="Times New Roman" w:cs="Times New Roman"/>
        <w:b w:val="0"/>
        <w:i w:val="0"/>
        <w:strike w:val="0"/>
        <w:color w:val="000000"/>
        <w:sz w:val="22"/>
        <w:szCs w:val="22"/>
        <w:u w:val="none"/>
        <w:shd w:val="clear" w:color="auto" w:fill="auto"/>
        <w:vertAlign w:val="baseline"/>
      </w:rPr>
      <w:start w:val="1"/>
      <w:suff w:val="tab"/>
    </w:lvl>
    <w:lvl w:ilvl="6">
      <w:isLgl w:val="false"/>
      <w:lvlJc w:val="left"/>
      <w:lvlText w:val="%7"/>
      <w:numFmt w:val="decimal"/>
      <w:pPr>
        <w:pBdr/>
        <w:spacing/>
        <w:ind w:left="4320"/>
      </w:pPr>
      <w:rPr>
        <w:rFonts w:ascii="Times New Roman" w:hAnsi="Times New Roman" w:eastAsia="Times New Roman" w:cs="Times New Roman"/>
        <w:b w:val="0"/>
        <w:i w:val="0"/>
        <w:strike w:val="0"/>
        <w:color w:val="000000"/>
        <w:sz w:val="22"/>
        <w:szCs w:val="22"/>
        <w:u w:val="none"/>
        <w:shd w:val="clear" w:color="auto" w:fill="auto"/>
        <w:vertAlign w:val="baseline"/>
      </w:rPr>
      <w:start w:val="1"/>
      <w:suff w:val="tab"/>
    </w:lvl>
    <w:lvl w:ilvl="7">
      <w:isLgl w:val="false"/>
      <w:lvlJc w:val="left"/>
      <w:lvlText w:val="%8"/>
      <w:numFmt w:val="lowerLetter"/>
      <w:pPr>
        <w:pBdr/>
        <w:spacing/>
        <w:ind w:left="5040"/>
      </w:pPr>
      <w:rPr>
        <w:rFonts w:ascii="Times New Roman" w:hAnsi="Times New Roman" w:eastAsia="Times New Roman" w:cs="Times New Roman"/>
        <w:b w:val="0"/>
        <w:i w:val="0"/>
        <w:strike w:val="0"/>
        <w:color w:val="000000"/>
        <w:sz w:val="22"/>
        <w:szCs w:val="22"/>
        <w:u w:val="none"/>
        <w:shd w:val="clear" w:color="auto" w:fill="auto"/>
        <w:vertAlign w:val="baseline"/>
      </w:rPr>
      <w:start w:val="1"/>
      <w:suff w:val="tab"/>
    </w:lvl>
    <w:lvl w:ilvl="8">
      <w:isLgl w:val="false"/>
      <w:lvlJc w:val="left"/>
      <w:lvlText w:val="%9"/>
      <w:numFmt w:val="lowerRoman"/>
      <w:pPr>
        <w:pBdr/>
        <w:spacing/>
        <w:ind w:left="5760"/>
      </w:pPr>
      <w:rPr>
        <w:rFonts w:ascii="Times New Roman" w:hAnsi="Times New Roman" w:eastAsia="Times New Roman" w:cs="Times New Roman"/>
        <w:b w:val="0"/>
        <w:i w:val="0"/>
        <w:strike w:val="0"/>
        <w:color w:val="000000"/>
        <w:sz w:val="22"/>
        <w:szCs w:val="22"/>
        <w:u w:val="none"/>
        <w:shd w:val="clear" w:color="auto" w:fill="auto"/>
        <w:vertAlign w:val="baseline"/>
      </w:rPr>
      <w:start w:val="1"/>
      <w:suff w:val="tab"/>
    </w:lvl>
  </w:abstractNum>
  <w:abstractNum w:abstractNumId="2">
    <w:nsid w:val="5A937F74"/>
    <w:lvl w:ilvl="0">
      <w:isLgl w:val="false"/>
      <w:lvlJc w:val="left"/>
      <w:lvlText w:val="%1."/>
      <w:numFmt w:val="lowerLetter"/>
      <w:pPr>
        <w:pBdr/>
        <w:spacing/>
        <w:ind w:left="6660"/>
      </w:pPr>
      <w:rPr>
        <w:rFonts w:ascii="Times New Roman" w:hAnsi="Times New Roman" w:eastAsia="Times New Roman" w:cs="Times New Roman"/>
        <w:b w:val="0"/>
        <w:i w:val="0"/>
        <w:strike w:val="0"/>
        <w:color w:val="000000"/>
        <w:sz w:val="22"/>
        <w:szCs w:val="22"/>
        <w:u w:val="none"/>
        <w:shd w:val="clear" w:color="auto" w:fill="auto"/>
        <w:vertAlign w:val="baseline"/>
      </w:rPr>
      <w:start w:val="1"/>
      <w:suff w:val="tab"/>
    </w:lvl>
    <w:lvl w:ilvl="1">
      <w:isLgl w:val="false"/>
      <w:lvlJc w:val="left"/>
      <w:lvlText w:val="%2"/>
      <w:numFmt w:val="lowerLetter"/>
      <w:pPr>
        <w:pBdr/>
        <w:spacing/>
        <w:ind w:left="7380"/>
      </w:pPr>
      <w:rPr>
        <w:rFonts w:ascii="Times New Roman" w:hAnsi="Times New Roman" w:eastAsia="Times New Roman" w:cs="Times New Roman"/>
        <w:b w:val="0"/>
        <w:i w:val="0"/>
        <w:strike w:val="0"/>
        <w:color w:val="000000"/>
        <w:sz w:val="22"/>
        <w:szCs w:val="22"/>
        <w:u w:val="none"/>
        <w:shd w:val="clear" w:color="auto" w:fill="auto"/>
        <w:vertAlign w:val="baseline"/>
      </w:rPr>
      <w:start w:val="1"/>
      <w:suff w:val="tab"/>
    </w:lvl>
    <w:lvl w:ilvl="2">
      <w:isLgl w:val="false"/>
      <w:lvlJc w:val="left"/>
      <w:lvlText w:val="%3"/>
      <w:numFmt w:val="lowerRoman"/>
      <w:pPr>
        <w:pBdr/>
        <w:spacing/>
        <w:ind w:left="8100"/>
      </w:pPr>
      <w:rPr>
        <w:rFonts w:ascii="Times New Roman" w:hAnsi="Times New Roman" w:eastAsia="Times New Roman" w:cs="Times New Roman"/>
        <w:b w:val="0"/>
        <w:i w:val="0"/>
        <w:strike w:val="0"/>
        <w:color w:val="000000"/>
        <w:sz w:val="22"/>
        <w:szCs w:val="22"/>
        <w:u w:val="none"/>
        <w:shd w:val="clear" w:color="auto" w:fill="auto"/>
        <w:vertAlign w:val="baseline"/>
      </w:rPr>
      <w:start w:val="1"/>
      <w:suff w:val="tab"/>
    </w:lvl>
    <w:lvl w:ilvl="3">
      <w:isLgl w:val="false"/>
      <w:lvlJc w:val="left"/>
      <w:lvlText w:val="%4"/>
      <w:numFmt w:val="decimal"/>
      <w:pPr>
        <w:pBdr/>
        <w:spacing/>
        <w:ind w:left="8820"/>
      </w:pPr>
      <w:rPr>
        <w:rFonts w:ascii="Times New Roman" w:hAnsi="Times New Roman" w:eastAsia="Times New Roman" w:cs="Times New Roman"/>
        <w:b w:val="0"/>
        <w:i w:val="0"/>
        <w:strike w:val="0"/>
        <w:color w:val="000000"/>
        <w:sz w:val="22"/>
        <w:szCs w:val="22"/>
        <w:u w:val="none"/>
        <w:shd w:val="clear" w:color="auto" w:fill="auto"/>
        <w:vertAlign w:val="baseline"/>
      </w:rPr>
      <w:start w:val="1"/>
      <w:suff w:val="tab"/>
    </w:lvl>
    <w:lvl w:ilvl="4">
      <w:isLgl w:val="false"/>
      <w:lvlJc w:val="left"/>
      <w:lvlText w:val="%5"/>
      <w:numFmt w:val="lowerLetter"/>
      <w:pPr>
        <w:pBdr/>
        <w:spacing/>
        <w:ind w:left="9540"/>
      </w:pPr>
      <w:rPr>
        <w:rFonts w:ascii="Times New Roman" w:hAnsi="Times New Roman" w:eastAsia="Times New Roman" w:cs="Times New Roman"/>
        <w:b w:val="0"/>
        <w:i w:val="0"/>
        <w:strike w:val="0"/>
        <w:color w:val="000000"/>
        <w:sz w:val="22"/>
        <w:szCs w:val="22"/>
        <w:u w:val="none"/>
        <w:shd w:val="clear" w:color="auto" w:fill="auto"/>
        <w:vertAlign w:val="baseline"/>
      </w:rPr>
      <w:start w:val="1"/>
      <w:suff w:val="tab"/>
    </w:lvl>
    <w:lvl w:ilvl="5">
      <w:isLgl w:val="false"/>
      <w:lvlJc w:val="left"/>
      <w:lvlText w:val="%6"/>
      <w:numFmt w:val="lowerRoman"/>
      <w:pPr>
        <w:pBdr/>
        <w:spacing/>
        <w:ind w:left="10260"/>
      </w:pPr>
      <w:rPr>
        <w:rFonts w:ascii="Times New Roman" w:hAnsi="Times New Roman" w:eastAsia="Times New Roman" w:cs="Times New Roman"/>
        <w:b w:val="0"/>
        <w:i w:val="0"/>
        <w:strike w:val="0"/>
        <w:color w:val="000000"/>
        <w:sz w:val="22"/>
        <w:szCs w:val="22"/>
        <w:u w:val="none"/>
        <w:shd w:val="clear" w:color="auto" w:fill="auto"/>
        <w:vertAlign w:val="baseline"/>
      </w:rPr>
      <w:start w:val="1"/>
      <w:suff w:val="tab"/>
    </w:lvl>
    <w:lvl w:ilvl="6">
      <w:isLgl w:val="false"/>
      <w:lvlJc w:val="left"/>
      <w:lvlText w:val="%7"/>
      <w:numFmt w:val="decimal"/>
      <w:pPr>
        <w:pBdr/>
        <w:spacing/>
        <w:ind w:left="10980"/>
      </w:pPr>
      <w:rPr>
        <w:rFonts w:ascii="Times New Roman" w:hAnsi="Times New Roman" w:eastAsia="Times New Roman" w:cs="Times New Roman"/>
        <w:b w:val="0"/>
        <w:i w:val="0"/>
        <w:strike w:val="0"/>
        <w:color w:val="000000"/>
        <w:sz w:val="22"/>
        <w:szCs w:val="22"/>
        <w:u w:val="none"/>
        <w:shd w:val="clear" w:color="auto" w:fill="auto"/>
        <w:vertAlign w:val="baseline"/>
      </w:rPr>
      <w:start w:val="1"/>
      <w:suff w:val="tab"/>
    </w:lvl>
    <w:lvl w:ilvl="7">
      <w:isLgl w:val="false"/>
      <w:lvlJc w:val="left"/>
      <w:lvlText w:val="%8"/>
      <w:numFmt w:val="lowerLetter"/>
      <w:pPr>
        <w:pBdr/>
        <w:spacing/>
        <w:ind w:left="11700"/>
      </w:pPr>
      <w:rPr>
        <w:rFonts w:ascii="Times New Roman" w:hAnsi="Times New Roman" w:eastAsia="Times New Roman" w:cs="Times New Roman"/>
        <w:b w:val="0"/>
        <w:i w:val="0"/>
        <w:strike w:val="0"/>
        <w:color w:val="000000"/>
        <w:sz w:val="22"/>
        <w:szCs w:val="22"/>
        <w:u w:val="none"/>
        <w:shd w:val="clear" w:color="auto" w:fill="auto"/>
        <w:vertAlign w:val="baseline"/>
      </w:rPr>
      <w:start w:val="1"/>
      <w:suff w:val="tab"/>
    </w:lvl>
    <w:lvl w:ilvl="8">
      <w:isLgl w:val="false"/>
      <w:lvlJc w:val="left"/>
      <w:lvlText w:val="%9"/>
      <w:numFmt w:val="lowerRoman"/>
      <w:pPr>
        <w:pBdr/>
        <w:spacing/>
        <w:ind w:left="12420"/>
      </w:pPr>
      <w:rPr>
        <w:rFonts w:ascii="Times New Roman" w:hAnsi="Times New Roman" w:eastAsia="Times New Roman" w:cs="Times New Roman"/>
        <w:b w:val="0"/>
        <w:i w:val="0"/>
        <w:strike w:val="0"/>
        <w:color w:val="000000"/>
        <w:sz w:val="22"/>
        <w:szCs w:val="22"/>
        <w:u w:val="none"/>
        <w:shd w:val="clear" w:color="auto" w:fill="auto"/>
        <w:vertAlign w:val="baseline"/>
      </w:rPr>
      <w:start w:val="1"/>
      <w:suff w:val="tab"/>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4"/>
        <w:szCs w:val="24"/>
        <w:lang w:val="en-US" w:eastAsia="en-US" w:bidi="ar-SA"/>
        <w14:ligatures w14:val="standardContextual"/>
      </w:rPr>
    </w:rPrDefault>
    <w:pPrDefault>
      <w:pPr>
        <w:pBdr/>
        <w:spacing w:after="160" w:afterAutospacing="0" w:before="0" w:beforeAutospacing="0" w:line="278"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42"/>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4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4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4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4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4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4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4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4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4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4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4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4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4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4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4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4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4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4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4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4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4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4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4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4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4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4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4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4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4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4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4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4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4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4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4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4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4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4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4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4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4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4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4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4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4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4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4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4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4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4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4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4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4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4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4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4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4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4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4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4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4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4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4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4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4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4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4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4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4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4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4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4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4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4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4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4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4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4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4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4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4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4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4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4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4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74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74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74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74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74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7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4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4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4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4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4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4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4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4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4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4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4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4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4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4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40"/>
    <w:next w:val="740"/>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740"/>
    <w:next w:val="740"/>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40"/>
    <w:next w:val="740"/>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40"/>
    <w:next w:val="740"/>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40"/>
    <w:next w:val="740"/>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40"/>
    <w:next w:val="740"/>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40"/>
    <w:next w:val="74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40"/>
    <w:next w:val="74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40"/>
    <w:next w:val="74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41"/>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741"/>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41"/>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41"/>
    <w:link w:val="142"/>
    <w:uiPriority w:val="9"/>
    <w:pPr>
      <w:pBdr/>
      <w:spacing/>
      <w:ind/>
    </w:pPr>
    <w:rPr>
      <w:rFonts w:ascii="Arial" w:hAnsi="Arial" w:eastAsia="Arial" w:cs="Arial"/>
      <w:i/>
      <w:iCs/>
      <w:color w:val="0f4761" w:themeColor="accent1" w:themeShade="BF"/>
    </w:rPr>
  </w:style>
  <w:style w:type="character" w:styleId="154">
    <w:name w:val="Heading 5 Char"/>
    <w:basedOn w:val="741"/>
    <w:link w:val="143"/>
    <w:uiPriority w:val="9"/>
    <w:pPr>
      <w:pBdr/>
      <w:spacing/>
      <w:ind/>
    </w:pPr>
    <w:rPr>
      <w:rFonts w:ascii="Arial" w:hAnsi="Arial" w:eastAsia="Arial" w:cs="Arial"/>
      <w:color w:val="0f4761" w:themeColor="accent1" w:themeShade="BF"/>
    </w:rPr>
  </w:style>
  <w:style w:type="character" w:styleId="155">
    <w:name w:val="Heading 6 Char"/>
    <w:basedOn w:val="741"/>
    <w:link w:val="144"/>
    <w:uiPriority w:val="9"/>
    <w:pPr>
      <w:pBdr/>
      <w:spacing/>
      <w:ind/>
    </w:pPr>
    <w:rPr>
      <w:rFonts w:ascii="Arial" w:hAnsi="Arial" w:eastAsia="Arial" w:cs="Arial"/>
      <w:i/>
      <w:iCs/>
      <w:color w:val="595959" w:themeColor="text1" w:themeTint="A6"/>
    </w:rPr>
  </w:style>
  <w:style w:type="character" w:styleId="156">
    <w:name w:val="Heading 7 Char"/>
    <w:basedOn w:val="741"/>
    <w:link w:val="145"/>
    <w:uiPriority w:val="9"/>
    <w:pPr>
      <w:pBdr/>
      <w:spacing/>
      <w:ind/>
    </w:pPr>
    <w:rPr>
      <w:rFonts w:ascii="Arial" w:hAnsi="Arial" w:eastAsia="Arial" w:cs="Arial"/>
      <w:color w:val="595959" w:themeColor="text1" w:themeTint="A6"/>
    </w:rPr>
  </w:style>
  <w:style w:type="character" w:styleId="157">
    <w:name w:val="Heading 8 Char"/>
    <w:basedOn w:val="741"/>
    <w:link w:val="146"/>
    <w:uiPriority w:val="9"/>
    <w:pPr>
      <w:pBdr/>
      <w:spacing/>
      <w:ind/>
    </w:pPr>
    <w:rPr>
      <w:rFonts w:ascii="Arial" w:hAnsi="Arial" w:eastAsia="Arial" w:cs="Arial"/>
      <w:i/>
      <w:iCs/>
      <w:color w:val="272727" w:themeColor="text1" w:themeTint="D8"/>
    </w:rPr>
  </w:style>
  <w:style w:type="character" w:styleId="158">
    <w:name w:val="Heading 9 Char"/>
    <w:basedOn w:val="741"/>
    <w:link w:val="147"/>
    <w:uiPriority w:val="9"/>
    <w:pPr>
      <w:pBdr/>
      <w:spacing/>
      <w:ind/>
    </w:pPr>
    <w:rPr>
      <w:rFonts w:ascii="Arial" w:hAnsi="Arial" w:eastAsia="Arial" w:cs="Arial"/>
      <w:i/>
      <w:iCs/>
      <w:color w:val="272727" w:themeColor="text1" w:themeTint="D8"/>
    </w:rPr>
  </w:style>
  <w:style w:type="paragraph" w:styleId="159">
    <w:name w:val="Title"/>
    <w:basedOn w:val="740"/>
    <w:next w:val="740"/>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41"/>
    <w:link w:val="159"/>
    <w:uiPriority w:val="10"/>
    <w:pPr>
      <w:pBdr/>
      <w:spacing/>
      <w:ind/>
    </w:pPr>
    <w:rPr>
      <w:rFonts w:ascii="Arial" w:hAnsi="Arial" w:eastAsia="Arial" w:cs="Arial"/>
      <w:spacing w:val="-10"/>
      <w:sz w:val="56"/>
      <w:szCs w:val="56"/>
    </w:rPr>
  </w:style>
  <w:style w:type="paragraph" w:styleId="161">
    <w:name w:val="Subtitle"/>
    <w:basedOn w:val="740"/>
    <w:next w:val="740"/>
    <w:link w:val="162"/>
    <w:uiPriority w:val="11"/>
    <w:qFormat/>
    <w:pPr>
      <w:numPr>
        <w:ilvl w:val="1"/>
      </w:numPr>
      <w:pBdr/>
      <w:spacing/>
      <w:ind/>
    </w:pPr>
    <w:rPr>
      <w:color w:val="595959" w:themeColor="text1" w:themeTint="A6"/>
      <w:spacing w:val="15"/>
      <w:sz w:val="28"/>
      <w:szCs w:val="28"/>
    </w:rPr>
  </w:style>
  <w:style w:type="character" w:styleId="162">
    <w:name w:val="Subtitle Char"/>
    <w:basedOn w:val="741"/>
    <w:link w:val="161"/>
    <w:uiPriority w:val="11"/>
    <w:pPr>
      <w:pBdr/>
      <w:spacing/>
      <w:ind/>
    </w:pPr>
    <w:rPr>
      <w:color w:val="595959" w:themeColor="text1" w:themeTint="A6"/>
      <w:spacing w:val="15"/>
      <w:sz w:val="28"/>
      <w:szCs w:val="28"/>
    </w:rPr>
  </w:style>
  <w:style w:type="paragraph" w:styleId="163">
    <w:name w:val="Quote"/>
    <w:basedOn w:val="740"/>
    <w:next w:val="740"/>
    <w:link w:val="164"/>
    <w:uiPriority w:val="29"/>
    <w:qFormat/>
    <w:pPr>
      <w:pBdr/>
      <w:spacing w:before="160"/>
      <w:ind/>
      <w:jc w:val="center"/>
    </w:pPr>
    <w:rPr>
      <w:i/>
      <w:iCs/>
      <w:color w:val="404040" w:themeColor="text1" w:themeTint="BF"/>
    </w:rPr>
  </w:style>
  <w:style w:type="character" w:styleId="164">
    <w:name w:val="Quote Char"/>
    <w:basedOn w:val="741"/>
    <w:link w:val="163"/>
    <w:uiPriority w:val="29"/>
    <w:pPr>
      <w:pBdr/>
      <w:spacing/>
      <w:ind/>
    </w:pPr>
    <w:rPr>
      <w:i/>
      <w:iCs/>
      <w:color w:val="404040" w:themeColor="text1" w:themeTint="BF"/>
    </w:rPr>
  </w:style>
  <w:style w:type="character" w:styleId="166">
    <w:name w:val="Intense Emphasis"/>
    <w:basedOn w:val="741"/>
    <w:uiPriority w:val="21"/>
    <w:qFormat/>
    <w:pPr>
      <w:pBdr/>
      <w:spacing/>
      <w:ind/>
    </w:pPr>
    <w:rPr>
      <w:i/>
      <w:iCs/>
      <w:color w:val="0f4761" w:themeColor="accent1" w:themeShade="BF"/>
    </w:rPr>
  </w:style>
  <w:style w:type="paragraph" w:styleId="167">
    <w:name w:val="Intense Quote"/>
    <w:basedOn w:val="740"/>
    <w:next w:val="74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41"/>
    <w:link w:val="167"/>
    <w:uiPriority w:val="30"/>
    <w:pPr>
      <w:pBdr/>
      <w:spacing/>
      <w:ind/>
    </w:pPr>
    <w:rPr>
      <w:i/>
      <w:iCs/>
      <w:color w:val="0f4761" w:themeColor="accent1" w:themeShade="BF"/>
    </w:rPr>
  </w:style>
  <w:style w:type="character" w:styleId="169">
    <w:name w:val="Intense Reference"/>
    <w:basedOn w:val="741"/>
    <w:uiPriority w:val="32"/>
    <w:qFormat/>
    <w:pPr>
      <w:pBdr/>
      <w:spacing/>
      <w:ind/>
    </w:pPr>
    <w:rPr>
      <w:b/>
      <w:bCs/>
      <w:smallCaps/>
      <w:color w:val="0f4761" w:themeColor="accent1" w:themeShade="BF"/>
      <w:spacing w:val="5"/>
    </w:rPr>
  </w:style>
  <w:style w:type="character" w:styleId="171">
    <w:name w:val="Subtle Emphasis"/>
    <w:basedOn w:val="741"/>
    <w:uiPriority w:val="19"/>
    <w:qFormat/>
    <w:pPr>
      <w:pBdr/>
      <w:spacing/>
      <w:ind/>
    </w:pPr>
    <w:rPr>
      <w:i/>
      <w:iCs/>
      <w:color w:val="404040" w:themeColor="text1" w:themeTint="BF"/>
    </w:rPr>
  </w:style>
  <w:style w:type="character" w:styleId="172">
    <w:name w:val="Emphasis"/>
    <w:basedOn w:val="741"/>
    <w:uiPriority w:val="20"/>
    <w:qFormat/>
    <w:pPr>
      <w:pBdr/>
      <w:spacing/>
      <w:ind/>
    </w:pPr>
    <w:rPr>
      <w:i/>
      <w:iCs/>
    </w:rPr>
  </w:style>
  <w:style w:type="character" w:styleId="173">
    <w:name w:val="Strong"/>
    <w:basedOn w:val="741"/>
    <w:uiPriority w:val="22"/>
    <w:qFormat/>
    <w:pPr>
      <w:pBdr/>
      <w:spacing/>
      <w:ind/>
    </w:pPr>
    <w:rPr>
      <w:b/>
      <w:bCs/>
    </w:rPr>
  </w:style>
  <w:style w:type="character" w:styleId="174">
    <w:name w:val="Subtle Reference"/>
    <w:basedOn w:val="741"/>
    <w:uiPriority w:val="31"/>
    <w:qFormat/>
    <w:pPr>
      <w:pBdr/>
      <w:spacing/>
      <w:ind/>
    </w:pPr>
    <w:rPr>
      <w:smallCaps/>
      <w:color w:val="5a5a5a" w:themeColor="text1" w:themeTint="A5"/>
    </w:rPr>
  </w:style>
  <w:style w:type="character" w:styleId="175">
    <w:name w:val="Book Title"/>
    <w:basedOn w:val="741"/>
    <w:uiPriority w:val="33"/>
    <w:qFormat/>
    <w:pPr>
      <w:pBdr/>
      <w:spacing/>
      <w:ind/>
    </w:pPr>
    <w:rPr>
      <w:b/>
      <w:bCs/>
      <w:i/>
      <w:iCs/>
      <w:spacing w:val="5"/>
    </w:rPr>
  </w:style>
  <w:style w:type="paragraph" w:styleId="180">
    <w:name w:val="Caption"/>
    <w:basedOn w:val="740"/>
    <w:next w:val="740"/>
    <w:uiPriority w:val="35"/>
    <w:unhideWhenUsed/>
    <w:qFormat/>
    <w:pPr>
      <w:pBdr/>
      <w:spacing w:after="200" w:line="240" w:lineRule="auto"/>
      <w:ind/>
    </w:pPr>
    <w:rPr>
      <w:i/>
      <w:iCs/>
      <w:color w:val="0e2841" w:themeColor="text2"/>
      <w:sz w:val="18"/>
      <w:szCs w:val="18"/>
    </w:rPr>
  </w:style>
  <w:style w:type="paragraph" w:styleId="184">
    <w:name w:val="endnote text"/>
    <w:basedOn w:val="740"/>
    <w:link w:val="185"/>
    <w:uiPriority w:val="99"/>
    <w:semiHidden/>
    <w:unhideWhenUsed/>
    <w:pPr>
      <w:pBdr/>
      <w:spacing w:after="0" w:line="240" w:lineRule="auto"/>
      <w:ind/>
    </w:pPr>
    <w:rPr>
      <w:sz w:val="20"/>
      <w:szCs w:val="20"/>
    </w:rPr>
  </w:style>
  <w:style w:type="character" w:styleId="185">
    <w:name w:val="Endnote Text Char"/>
    <w:basedOn w:val="741"/>
    <w:link w:val="184"/>
    <w:uiPriority w:val="99"/>
    <w:semiHidden/>
    <w:pPr>
      <w:pBdr/>
      <w:spacing/>
      <w:ind/>
    </w:pPr>
    <w:rPr>
      <w:sz w:val="20"/>
      <w:szCs w:val="20"/>
    </w:rPr>
  </w:style>
  <w:style w:type="character" w:styleId="186">
    <w:name w:val="endnote reference"/>
    <w:basedOn w:val="741"/>
    <w:uiPriority w:val="99"/>
    <w:semiHidden/>
    <w:unhideWhenUsed/>
    <w:pPr>
      <w:pBdr/>
      <w:spacing/>
      <w:ind/>
    </w:pPr>
    <w:rPr>
      <w:vertAlign w:val="superscript"/>
    </w:rPr>
  </w:style>
  <w:style w:type="character" w:styleId="188">
    <w:name w:val="FollowedHyperlink"/>
    <w:basedOn w:val="741"/>
    <w:uiPriority w:val="99"/>
    <w:semiHidden/>
    <w:unhideWhenUsed/>
    <w:pPr>
      <w:pBdr/>
      <w:spacing/>
      <w:ind/>
    </w:pPr>
    <w:rPr>
      <w:color w:val="954f72" w:themeColor="followedHyperlink"/>
      <w:u w:val="single"/>
    </w:rPr>
  </w:style>
  <w:style w:type="paragraph" w:styleId="189">
    <w:name w:val="toc 1"/>
    <w:basedOn w:val="740"/>
    <w:next w:val="740"/>
    <w:uiPriority w:val="39"/>
    <w:unhideWhenUsed/>
    <w:pPr>
      <w:pBdr/>
      <w:spacing w:after="100"/>
      <w:ind/>
    </w:pPr>
  </w:style>
  <w:style w:type="paragraph" w:styleId="190">
    <w:name w:val="toc 2"/>
    <w:basedOn w:val="740"/>
    <w:next w:val="740"/>
    <w:uiPriority w:val="39"/>
    <w:unhideWhenUsed/>
    <w:pPr>
      <w:pBdr/>
      <w:spacing w:after="100"/>
      <w:ind w:left="220"/>
    </w:pPr>
  </w:style>
  <w:style w:type="paragraph" w:styleId="191">
    <w:name w:val="toc 3"/>
    <w:basedOn w:val="740"/>
    <w:next w:val="740"/>
    <w:uiPriority w:val="39"/>
    <w:unhideWhenUsed/>
    <w:pPr>
      <w:pBdr/>
      <w:spacing w:after="100"/>
      <w:ind w:left="440"/>
    </w:pPr>
  </w:style>
  <w:style w:type="paragraph" w:styleId="192">
    <w:name w:val="toc 4"/>
    <w:basedOn w:val="740"/>
    <w:next w:val="740"/>
    <w:uiPriority w:val="39"/>
    <w:unhideWhenUsed/>
    <w:pPr>
      <w:pBdr/>
      <w:spacing w:after="100"/>
      <w:ind w:left="660"/>
    </w:pPr>
  </w:style>
  <w:style w:type="paragraph" w:styleId="193">
    <w:name w:val="toc 5"/>
    <w:basedOn w:val="740"/>
    <w:next w:val="740"/>
    <w:uiPriority w:val="39"/>
    <w:unhideWhenUsed/>
    <w:pPr>
      <w:pBdr/>
      <w:spacing w:after="100"/>
      <w:ind w:left="880"/>
    </w:pPr>
  </w:style>
  <w:style w:type="paragraph" w:styleId="194">
    <w:name w:val="toc 6"/>
    <w:basedOn w:val="740"/>
    <w:next w:val="740"/>
    <w:uiPriority w:val="39"/>
    <w:unhideWhenUsed/>
    <w:pPr>
      <w:pBdr/>
      <w:spacing w:after="100"/>
      <w:ind w:left="1100"/>
    </w:pPr>
  </w:style>
  <w:style w:type="paragraph" w:styleId="195">
    <w:name w:val="toc 7"/>
    <w:basedOn w:val="740"/>
    <w:next w:val="740"/>
    <w:uiPriority w:val="39"/>
    <w:unhideWhenUsed/>
    <w:pPr>
      <w:pBdr/>
      <w:spacing w:after="100"/>
      <w:ind w:left="1320"/>
    </w:pPr>
  </w:style>
  <w:style w:type="paragraph" w:styleId="196">
    <w:name w:val="toc 8"/>
    <w:basedOn w:val="740"/>
    <w:next w:val="740"/>
    <w:uiPriority w:val="39"/>
    <w:unhideWhenUsed/>
    <w:pPr>
      <w:pBdr/>
      <w:spacing w:after="100"/>
      <w:ind w:left="1540"/>
    </w:pPr>
  </w:style>
  <w:style w:type="paragraph" w:styleId="197">
    <w:name w:val="toc 9"/>
    <w:basedOn w:val="740"/>
    <w:next w:val="740"/>
    <w:uiPriority w:val="39"/>
    <w:unhideWhenUsed/>
    <w:pPr>
      <w:pBdr/>
      <w:spacing w:after="100"/>
      <w:ind w:left="1760"/>
    </w:pPr>
  </w:style>
  <w:style w:type="character" w:styleId="198">
    <w:name w:val="Placeholder Text"/>
    <w:basedOn w:val="741"/>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40"/>
    <w:next w:val="740"/>
    <w:uiPriority w:val="99"/>
    <w:unhideWhenUsed/>
    <w:pPr>
      <w:pBdr/>
      <w:spacing w:after="0" w:afterAutospacing="0"/>
      <w:ind/>
    </w:pPr>
  </w:style>
  <w:style w:type="paragraph" w:styleId="740" w:default="1">
    <w:name w:val="Normal"/>
    <w:qFormat/>
    <w:pPr>
      <w:pBdr/>
      <w:spacing w:after="8" w:line="269" w:lineRule="auto"/>
      <w:ind w:hanging="10" w:left="10"/>
      <w:jc w:val="both"/>
    </w:pPr>
    <w:rPr>
      <w:rFonts w:ascii="Times New Roman" w:hAnsi="Times New Roman" w:eastAsia="Times New Roman" w:cs="Times New Roman"/>
      <w:color w:val="000000"/>
      <w:sz w:val="22"/>
    </w:rPr>
  </w:style>
  <w:style w:type="character" w:styleId="741" w:default="1">
    <w:name w:val="Default Paragraph Font"/>
    <w:uiPriority w:val="1"/>
    <w:semiHidden/>
    <w:unhideWhenUsed/>
    <w:pPr>
      <w:pBdr/>
      <w:spacing/>
      <w:ind/>
    </w:pPr>
  </w:style>
  <w:style w:type="table" w:styleId="74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43" w:default="1">
    <w:name w:val="No List"/>
    <w:uiPriority w:val="99"/>
    <w:semiHidden/>
    <w:unhideWhenUsed/>
    <w:pPr>
      <w:pBdr/>
      <w:spacing/>
      <w:ind/>
    </w:pPr>
  </w:style>
  <w:style w:type="paragraph" w:styleId="744">
    <w:name w:val="List Paragraph"/>
    <w:basedOn w:val="740"/>
    <w:uiPriority w:val="34"/>
    <w:qFormat/>
    <w:pPr>
      <w:pBdr/>
      <w:spacing/>
      <w:ind w:left="720"/>
      <w:contextualSpacing w:val="true"/>
    </w:pPr>
  </w:style>
  <w:style w:type="paragraph" w:styleId="745">
    <w:name w:val="Normal (Web)"/>
    <w:basedOn w:val="740"/>
    <w:uiPriority w:val="99"/>
    <w:unhideWhenUsed/>
    <w:pPr>
      <w:pBdr/>
      <w:spacing w:after="100" w:afterAutospacing="1" w:before="100" w:beforeAutospacing="1" w:line="240" w:lineRule="auto"/>
      <w:ind w:firstLine="0" w:left="0"/>
      <w:jc w:val="left"/>
    </w:pPr>
    <w:rPr>
      <w:color w:val="auto"/>
      <w:sz w:val="24"/>
      <w:lang w:val="nl-NL" w:eastAsia="nl-NL"/>
      <w14:ligatures w14:val="none"/>
    </w:rPr>
  </w:style>
  <w:style w:type="paragraph" w:styleId="746">
    <w:name w:val="Header"/>
    <w:basedOn w:val="740"/>
    <w:link w:val="747"/>
    <w:uiPriority w:val="99"/>
    <w:unhideWhenUsed/>
    <w:pPr>
      <w:pBdr/>
      <w:tabs>
        <w:tab w:val="center" w:leader="none" w:pos="4680"/>
        <w:tab w:val="right" w:leader="none" w:pos="9360"/>
      </w:tabs>
      <w:spacing w:after="0" w:line="240" w:lineRule="auto"/>
      <w:ind/>
    </w:pPr>
  </w:style>
  <w:style w:type="character" w:styleId="747" w:customStyle="1">
    <w:name w:val="Header Char"/>
    <w:basedOn w:val="741"/>
    <w:link w:val="746"/>
    <w:uiPriority w:val="99"/>
    <w:pPr>
      <w:pBdr/>
      <w:spacing/>
      <w:ind/>
    </w:pPr>
    <w:rPr>
      <w:rFonts w:ascii="Times New Roman" w:hAnsi="Times New Roman" w:eastAsia="Times New Roman" w:cs="Times New Roman"/>
      <w:color w:val="000000"/>
      <w:sz w:val="22"/>
    </w:rPr>
  </w:style>
  <w:style w:type="paragraph" w:styleId="748">
    <w:name w:val="Footer"/>
    <w:basedOn w:val="740"/>
    <w:link w:val="749"/>
    <w:uiPriority w:val="99"/>
    <w:unhideWhenUsed/>
    <w:pPr>
      <w:pBdr/>
      <w:tabs>
        <w:tab w:val="center" w:leader="none" w:pos="4680"/>
        <w:tab w:val="right" w:leader="none" w:pos="9360"/>
      </w:tabs>
      <w:spacing w:after="0" w:line="240" w:lineRule="auto"/>
      <w:ind/>
    </w:pPr>
  </w:style>
  <w:style w:type="character" w:styleId="749" w:customStyle="1">
    <w:name w:val="Footer Char"/>
    <w:basedOn w:val="741"/>
    <w:link w:val="748"/>
    <w:uiPriority w:val="99"/>
    <w:pPr>
      <w:pBdr/>
      <w:spacing/>
      <w:ind/>
    </w:pPr>
    <w:rPr>
      <w:rFonts w:ascii="Times New Roman" w:hAnsi="Times New Roman" w:eastAsia="Times New Roman" w:cs="Times New Roman"/>
      <w:color w:val="000000"/>
      <w:sz w:val="22"/>
    </w:rPr>
  </w:style>
  <w:style w:type="character" w:styleId="750">
    <w:name w:val="Hyperlink"/>
    <w:uiPriority w:val="99"/>
    <w:unhideWhenUsed/>
    <w:pPr>
      <w:pBdr/>
      <w:spacing/>
      <w:ind/>
    </w:pPr>
    <w:rPr>
      <w:color w:val="0563c1"/>
      <w:u w:val="single"/>
    </w:rPr>
  </w:style>
  <w:style w:type="paragraph" w:styleId="751">
    <w:name w:val="No Spacing"/>
    <w:uiPriority w:val="1"/>
    <w:qFormat/>
    <w:pPr>
      <w:pBdr/>
      <w:spacing w:after="0" w:line="240" w:lineRule="auto"/>
      <w:ind w:hanging="10" w:left="10"/>
      <w:jc w:val="both"/>
    </w:pPr>
    <w:rPr>
      <w:rFonts w:ascii="Times New Roman" w:hAnsi="Times New Roman" w:eastAsia="Times New Roman" w:cs="Times New Roman"/>
      <w:color w:val="000000"/>
      <w:sz w:val="22"/>
    </w:rPr>
  </w:style>
  <w:style w:type="paragraph" w:styleId="752">
    <w:name w:val="footnote text"/>
    <w:basedOn w:val="740"/>
    <w:link w:val="753"/>
    <w:uiPriority w:val="99"/>
    <w:unhideWhenUsed/>
    <w:pPr>
      <w:pBdr/>
      <w:spacing w:after="0" w:line="240" w:lineRule="auto"/>
      <w:ind/>
    </w:pPr>
    <w:rPr>
      <w:sz w:val="24"/>
    </w:rPr>
  </w:style>
  <w:style w:type="character" w:styleId="753" w:customStyle="1">
    <w:name w:val="Footnote Text Char"/>
    <w:basedOn w:val="741"/>
    <w:link w:val="752"/>
    <w:uiPriority w:val="99"/>
    <w:pPr>
      <w:pBdr/>
      <w:spacing/>
      <w:ind/>
    </w:pPr>
    <w:rPr>
      <w:rFonts w:ascii="Times New Roman" w:hAnsi="Times New Roman" w:eastAsia="Times New Roman" w:cs="Times New Roman"/>
      <w:color w:val="000000"/>
    </w:rPr>
  </w:style>
  <w:style w:type="character" w:styleId="754">
    <w:name w:val="footnote reference"/>
    <w:basedOn w:val="741"/>
    <w:uiPriority w:val="99"/>
    <w:unhideWhenUsed/>
    <w:pPr>
      <w:pBdr/>
      <w:spacing/>
      <w:ind/>
    </w:pPr>
    <w:rPr>
      <w:vertAlign w:val="superscript"/>
    </w:rPr>
  </w:style>
  <w:style w:type="character" w:styleId="755">
    <w:name w:val="page number"/>
    <w:basedOn w:val="741"/>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ONLYOFFICE/9.1.0.173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Chadrack NIZEYIMANA</dc:creator>
  <cp:keywords>, docId:A2CBF31FE233F6E5736AE5135B4EF0D8</cp:keywords>
  <cp:revision>4</cp:revision>
  <dcterms:created xsi:type="dcterms:W3CDTF">2025-11-24T00:06:00Z</dcterms:created>
  <dcterms:modified xsi:type="dcterms:W3CDTF">2025-12-01T08:47:59Z</dcterms:modified>
</cp:coreProperties>
</file>